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0EFF5" w14:textId="77777777" w:rsidR="00E23181" w:rsidRPr="00E23181" w:rsidRDefault="00E23181" w:rsidP="00E950D3">
      <w:pPr>
        <w:spacing w:after="0" w:line="360" w:lineRule="auto"/>
        <w:jc w:val="both"/>
        <w:rPr>
          <w:b/>
        </w:rPr>
      </w:pPr>
      <w:r w:rsidRPr="00E23181">
        <w:rPr>
          <w:b/>
        </w:rPr>
        <w:t>Use of Allusion and Chiasm in John’s Prologue to Promote a Persuasive Agenda</w:t>
      </w:r>
    </w:p>
    <w:p w14:paraId="6FB6C9FC" w14:textId="2CFB48D5" w:rsidR="00E23181" w:rsidRDefault="00E23181" w:rsidP="00E950D3">
      <w:pPr>
        <w:spacing w:after="0" w:line="360" w:lineRule="auto"/>
        <w:jc w:val="both"/>
      </w:pPr>
      <w:r>
        <w:t>Michael Brent</w:t>
      </w:r>
      <w:r w:rsidR="00A15401">
        <w:t>, MDiv</w:t>
      </w:r>
    </w:p>
    <w:p w14:paraId="625412DD" w14:textId="003B5755" w:rsidR="00E23181" w:rsidRDefault="00E23181" w:rsidP="00E950D3">
      <w:pPr>
        <w:spacing w:after="0" w:line="360" w:lineRule="auto"/>
        <w:jc w:val="both"/>
      </w:pPr>
      <w:proofErr w:type="spellStart"/>
      <w:r>
        <w:t>Z</w:t>
      </w:r>
      <w:r>
        <w:rPr>
          <w:i/>
        </w:rPr>
        <w:t>bornik</w:t>
      </w:r>
      <w:proofErr w:type="spellEnd"/>
      <w:r>
        <w:rPr>
          <w:i/>
        </w:rPr>
        <w:t xml:space="preserve"> </w:t>
      </w:r>
      <w:proofErr w:type="spellStart"/>
      <w:r>
        <w:rPr>
          <w:i/>
        </w:rPr>
        <w:t>Biblija</w:t>
      </w:r>
      <w:proofErr w:type="spellEnd"/>
      <w:r>
        <w:rPr>
          <w:i/>
        </w:rPr>
        <w:t xml:space="preserve"> </w:t>
      </w:r>
      <w:proofErr w:type="spellStart"/>
      <w:r>
        <w:rPr>
          <w:i/>
        </w:rPr>
        <w:t>i</w:t>
      </w:r>
      <w:proofErr w:type="spellEnd"/>
      <w:r>
        <w:rPr>
          <w:i/>
        </w:rPr>
        <w:t xml:space="preserve"> </w:t>
      </w:r>
      <w:proofErr w:type="spellStart"/>
      <w:r>
        <w:rPr>
          <w:i/>
        </w:rPr>
        <w:t>Knji</w:t>
      </w:r>
      <w:r>
        <w:rPr>
          <w:i/>
          <w:lang w:val="hr-HR"/>
        </w:rPr>
        <w:t>ževnost</w:t>
      </w:r>
      <w:proofErr w:type="spellEnd"/>
      <w:r>
        <w:rPr>
          <w:i/>
          <w:lang w:val="hr-HR"/>
        </w:rPr>
        <w:t xml:space="preserve"> Rijeka i Zagreb 2014</w:t>
      </w:r>
      <w:r>
        <w:rPr>
          <w:i/>
        </w:rPr>
        <w:t>.</w:t>
      </w:r>
      <w:r>
        <w:t xml:space="preserve"> </w:t>
      </w:r>
    </w:p>
    <w:p w14:paraId="200D59D1" w14:textId="43D3DC84" w:rsidR="0094092E" w:rsidRDefault="00E23181" w:rsidP="00E950D3">
      <w:pPr>
        <w:spacing w:after="0" w:line="360" w:lineRule="auto"/>
        <w:jc w:val="both"/>
      </w:pPr>
      <w:proofErr w:type="spellStart"/>
      <w:r>
        <w:t>Matica</w:t>
      </w:r>
      <w:proofErr w:type="spellEnd"/>
      <w:r>
        <w:t xml:space="preserve"> </w:t>
      </w:r>
      <w:proofErr w:type="spellStart"/>
      <w:r>
        <w:t>hrvatska</w:t>
      </w:r>
      <w:proofErr w:type="spellEnd"/>
      <w:r>
        <w:t xml:space="preserve"> - </w:t>
      </w:r>
      <w:proofErr w:type="spellStart"/>
      <w:r>
        <w:t>Ogranak</w:t>
      </w:r>
      <w:proofErr w:type="spellEnd"/>
      <w:r>
        <w:t xml:space="preserve"> u </w:t>
      </w:r>
      <w:proofErr w:type="spellStart"/>
      <w:r>
        <w:t>Rijeci</w:t>
      </w:r>
      <w:proofErr w:type="spellEnd"/>
      <w:r>
        <w:t>, Rijeka 201</w:t>
      </w:r>
      <w:bookmarkStart w:id="0" w:name="_GoBack"/>
      <w:bookmarkEnd w:id="0"/>
      <w:r>
        <w:t>4.</w:t>
      </w:r>
    </w:p>
    <w:p w14:paraId="7AD94CFC" w14:textId="77777777" w:rsidR="00E23181" w:rsidRDefault="00E23181" w:rsidP="00E950D3">
      <w:pPr>
        <w:spacing w:after="0" w:line="360" w:lineRule="auto"/>
        <w:jc w:val="both"/>
      </w:pPr>
    </w:p>
    <w:p w14:paraId="3B3B7B4C" w14:textId="77777777" w:rsidR="00843A57" w:rsidRPr="00724FC2" w:rsidRDefault="00843A57" w:rsidP="00E950D3">
      <w:pPr>
        <w:spacing w:after="0" w:line="360" w:lineRule="auto"/>
        <w:jc w:val="both"/>
        <w:rPr>
          <w:b/>
        </w:rPr>
      </w:pPr>
      <w:r w:rsidRPr="00724FC2">
        <w:rPr>
          <w:b/>
        </w:rPr>
        <w:t>Use of Allusion and Chiasm in John’s Prologue to Promote a Persuasive Agenda</w:t>
      </w:r>
    </w:p>
    <w:p w14:paraId="7F7FB273" w14:textId="61A6838E" w:rsidR="006558EB" w:rsidRDefault="00D95834" w:rsidP="00E950D3">
      <w:pPr>
        <w:pStyle w:val="Heading1"/>
        <w:jc w:val="both"/>
      </w:pPr>
      <w:r>
        <w:t>Abstract</w:t>
      </w:r>
    </w:p>
    <w:p w14:paraId="60EDDFC2" w14:textId="34758243" w:rsidR="006558EB" w:rsidRDefault="00650F09" w:rsidP="00E950D3">
      <w:pPr>
        <w:spacing w:after="0" w:line="360" w:lineRule="auto"/>
        <w:ind w:firstLine="720"/>
        <w:jc w:val="both"/>
      </w:pPr>
      <w:r>
        <w:t>The literary technique in John 1:1-18 develops the persuasive concerns of the au</w:t>
      </w:r>
      <w:r w:rsidR="00724FC2">
        <w:t>thor. While</w:t>
      </w:r>
      <w:r w:rsidR="00887BB0">
        <w:t xml:space="preserve"> numerous scholars point out the poetic quality of the text in suggesting an early hymn source for the passage, a </w:t>
      </w:r>
      <w:r w:rsidR="00F26902">
        <w:t>smaller</w:t>
      </w:r>
      <w:r w:rsidR="00887BB0">
        <w:t xml:space="preserve"> volume of work addresses the chiastic structure of the whole. Viewing the entire p</w:t>
      </w:r>
      <w:r w:rsidR="00724FC2">
        <w:t>assage as conceptually chiastic</w:t>
      </w:r>
      <w:r w:rsidR="00887BB0">
        <w:t xml:space="preserve"> reveals a balanced </w:t>
      </w:r>
      <w:r w:rsidR="00724FC2">
        <w:t>text</w:t>
      </w:r>
      <w:r w:rsidR="00887BB0">
        <w:t xml:space="preserve"> dominated in the initial half by allusion to Genesis and a metaphor of light, followed in the latter half by allusion to E</w:t>
      </w:r>
      <w:r w:rsidR="00724FC2">
        <w:t>xodus and the concept of glory.</w:t>
      </w:r>
      <w:r w:rsidR="00F26902">
        <w:t xml:space="preserve"> The pivot of the chiasm highlights the results of belief. Chiastic parallels</w:t>
      </w:r>
      <w:r w:rsidR="00887BB0">
        <w:t xml:space="preserve"> draw attention to five concerns </w:t>
      </w:r>
      <w:r w:rsidR="00F26902">
        <w:t>in line with the</w:t>
      </w:r>
      <w:r w:rsidR="00724FC2">
        <w:t xml:space="preserve"> author’s</w:t>
      </w:r>
      <w:r w:rsidR="00F26902">
        <w:t xml:space="preserve"> </w:t>
      </w:r>
      <w:r w:rsidR="00887BB0">
        <w:t>agenda to bring about belief in Jesus Christ.</w:t>
      </w:r>
      <w:r w:rsidR="00724FC2">
        <w:t xml:space="preserve"> Recognizing the developed concerns in these introductory verses of John suggests direction for continued study</w:t>
      </w:r>
      <w:r w:rsidR="00F26902">
        <w:t xml:space="preserve"> in</w:t>
      </w:r>
      <w:r w:rsidR="00724FC2">
        <w:t xml:space="preserve"> the gospel.</w:t>
      </w:r>
    </w:p>
    <w:p w14:paraId="51A5D5C8" w14:textId="77777777" w:rsidR="00650F09" w:rsidRDefault="00650F09" w:rsidP="00E950D3">
      <w:pPr>
        <w:spacing w:after="0" w:line="360" w:lineRule="auto"/>
        <w:jc w:val="both"/>
      </w:pPr>
    </w:p>
    <w:p w14:paraId="20AE0A97" w14:textId="33BB3DE0" w:rsidR="006558EB" w:rsidRPr="0075423A" w:rsidRDefault="006558EB" w:rsidP="00E950D3">
      <w:pPr>
        <w:spacing w:after="0" w:line="360" w:lineRule="auto"/>
        <w:jc w:val="both"/>
      </w:pPr>
      <w:r w:rsidRPr="00724FC2">
        <w:rPr>
          <w:b/>
        </w:rPr>
        <w:t>Key Words</w:t>
      </w:r>
      <w:r w:rsidR="0075423A" w:rsidRPr="00724FC2">
        <w:rPr>
          <w:b/>
        </w:rPr>
        <w:t>:</w:t>
      </w:r>
      <w:r w:rsidR="0075423A">
        <w:t xml:space="preserve"> </w:t>
      </w:r>
      <w:r w:rsidR="0065150A">
        <w:t>C</w:t>
      </w:r>
      <w:r w:rsidR="0075423A">
        <w:t>hiasm, allusion, p</w:t>
      </w:r>
      <w:r w:rsidR="00650F09">
        <w:t xml:space="preserve">arallelism, persuasion, </w:t>
      </w:r>
      <w:r w:rsidR="0075423A">
        <w:t>light, glory</w:t>
      </w:r>
      <w:r w:rsidR="0065150A">
        <w:t>, belief, John, gospel</w:t>
      </w:r>
    </w:p>
    <w:p w14:paraId="4FD91906" w14:textId="77777777" w:rsidR="006558EB" w:rsidRDefault="006558EB" w:rsidP="00E950D3">
      <w:pPr>
        <w:spacing w:after="0" w:line="360" w:lineRule="auto"/>
        <w:jc w:val="both"/>
      </w:pPr>
    </w:p>
    <w:p w14:paraId="104212A5" w14:textId="6D039589" w:rsidR="00327331" w:rsidRDefault="00327331" w:rsidP="00E950D3">
      <w:pPr>
        <w:spacing w:after="0" w:line="360" w:lineRule="auto"/>
        <w:jc w:val="both"/>
      </w:pPr>
      <w:r>
        <w:t>1. Introduction</w:t>
      </w:r>
    </w:p>
    <w:p w14:paraId="39C528BF" w14:textId="17537CAB" w:rsidR="00767399" w:rsidRDefault="00767399" w:rsidP="00E950D3">
      <w:pPr>
        <w:spacing w:after="0" w:line="360" w:lineRule="auto"/>
        <w:ind w:firstLine="720"/>
        <w:jc w:val="both"/>
      </w:pPr>
      <w:r>
        <w:t>The Gospel of John attempts to persuade the reader to believe</w:t>
      </w:r>
      <w:r w:rsidR="00D32D02">
        <w:t>.</w:t>
      </w:r>
      <w:r w:rsidR="00D8347A">
        <w:t xml:space="preserve"> </w:t>
      </w:r>
      <w:r w:rsidR="00412BF1">
        <w:t>The author clearly expresses his</w:t>
      </w:r>
      <w:r w:rsidR="00D8347A">
        <w:t xml:space="preserve"> intention</w:t>
      </w:r>
      <w:r w:rsidR="00412BF1">
        <w:t>, writing</w:t>
      </w:r>
      <w:r>
        <w:t>, “these [signs] have been written that you may believe that Jesus is the Christ, the Son of God; and that believing you may have life in his name” (John 20:31)</w:t>
      </w:r>
      <w:r w:rsidR="00D32D02">
        <w:t xml:space="preserve">. </w:t>
      </w:r>
      <w:r w:rsidR="00412BF1">
        <w:t>Even t</w:t>
      </w:r>
      <w:r>
        <w:t>hough the author describes</w:t>
      </w:r>
      <w:r w:rsidR="007D3AD2">
        <w:t xml:space="preserve"> here</w:t>
      </w:r>
      <w:r>
        <w:t xml:space="preserve"> his intent as persuasive, identifying the gospel’s genre presents an elusive challenge to scholars who recognize elements of biography, narrative, theology and history</w:t>
      </w:r>
      <w:r w:rsidR="00D32D02">
        <w:t xml:space="preserve">. </w:t>
      </w:r>
      <w:r>
        <w:t xml:space="preserve">In whatever </w:t>
      </w:r>
      <w:r w:rsidR="0029482F">
        <w:t xml:space="preserve">way </w:t>
      </w:r>
      <w:r>
        <w:t>the gospel</w:t>
      </w:r>
      <w:r w:rsidR="000A3B81">
        <w:t xml:space="preserve"> may</w:t>
      </w:r>
      <w:r>
        <w:t xml:space="preserve"> eventually</w:t>
      </w:r>
      <w:r w:rsidR="000A3B81">
        <w:t xml:space="preserve"> be</w:t>
      </w:r>
      <w:r>
        <w:t xml:space="preserve"> categorized, the first eighteen verses</w:t>
      </w:r>
      <w:r w:rsidR="00D8347A">
        <w:t xml:space="preserve"> </w:t>
      </w:r>
      <w:r>
        <w:t>stand apart from the record of signs, speeches and dialogue encou</w:t>
      </w:r>
      <w:r w:rsidR="00E950D3">
        <w:t xml:space="preserve">ntered in the bulk of the work. </w:t>
      </w:r>
      <w:r w:rsidR="00412BF1">
        <w:t xml:space="preserve">The </w:t>
      </w:r>
      <w:r>
        <w:t>“rhythmic</w:t>
      </w:r>
      <w:r w:rsidR="00363BD7">
        <w:t>al</w:t>
      </w:r>
      <w:r>
        <w:t xml:space="preserve"> prose”</w:t>
      </w:r>
      <w:r>
        <w:rPr>
          <w:rStyle w:val="FootnoteReference"/>
        </w:rPr>
        <w:footnoteReference w:id="1"/>
      </w:r>
      <w:r w:rsidR="00412BF1">
        <w:t xml:space="preserve"> of the gospel’s introduction</w:t>
      </w:r>
      <w:r>
        <w:t xml:space="preserve"> possibl</w:t>
      </w:r>
      <w:r w:rsidR="00412BF1">
        <w:t>y</w:t>
      </w:r>
      <w:r>
        <w:t xml:space="preserve"> reveal</w:t>
      </w:r>
      <w:r w:rsidR="00412BF1">
        <w:t>s</w:t>
      </w:r>
      <w:r>
        <w:t xml:space="preserve"> the existence of an earlier Christian hymn</w:t>
      </w:r>
      <w:r>
        <w:rPr>
          <w:rStyle w:val="FootnoteReference"/>
        </w:rPr>
        <w:footnoteReference w:id="2"/>
      </w:r>
      <w:r>
        <w:t xml:space="preserve"> </w:t>
      </w:r>
      <w:r>
        <w:lastRenderedPageBreak/>
        <w:t>taken over and employed by John</w:t>
      </w:r>
      <w:r w:rsidR="00B42656">
        <w:rPr>
          <w:rStyle w:val="FootnoteReference"/>
        </w:rPr>
        <w:footnoteReference w:id="3"/>
      </w:r>
      <w:r>
        <w:t xml:space="preserve"> as a prologue to his work</w:t>
      </w:r>
      <w:r w:rsidR="00D32D02">
        <w:t xml:space="preserve">. </w:t>
      </w:r>
      <w:r w:rsidR="00412BF1">
        <w:t xml:space="preserve">With </w:t>
      </w:r>
      <w:r>
        <w:t xml:space="preserve">literary skill in the use of allusion, metaphor and structure </w:t>
      </w:r>
      <w:r w:rsidR="00412BF1">
        <w:t>John uses his prologue to</w:t>
      </w:r>
      <w:r>
        <w:t xml:space="preserve"> introduce major themes develop</w:t>
      </w:r>
      <w:r w:rsidR="004A6C43">
        <w:t>ed</w:t>
      </w:r>
      <w:r>
        <w:t xml:space="preserve"> through</w:t>
      </w:r>
      <w:r w:rsidR="00412BF1">
        <w:t>out</w:t>
      </w:r>
      <w:r>
        <w:t xml:space="preserve"> the </w:t>
      </w:r>
      <w:r w:rsidR="00412BF1">
        <w:t>gospel</w:t>
      </w:r>
      <w:r w:rsidR="00D32D02">
        <w:t xml:space="preserve">. </w:t>
      </w:r>
      <w:r>
        <w:t>The first half of the prologue is dominated by an allusion to Genesis and the metaphoric image of light</w:t>
      </w:r>
      <w:r w:rsidR="00D32D02">
        <w:t xml:space="preserve">. </w:t>
      </w:r>
      <w:r>
        <w:t>The second half of the prologue is dominated by an allusion to Exodus and the concept of glory</w:t>
      </w:r>
      <w:r w:rsidR="00D32D02">
        <w:t xml:space="preserve">. </w:t>
      </w:r>
      <w:r>
        <w:t>These two halves of the prologue par</w:t>
      </w:r>
      <w:r w:rsidR="00F80C03">
        <w:t>allel one another in a chiastic</w:t>
      </w:r>
      <w:r>
        <w:t xml:space="preserve"> structure</w:t>
      </w:r>
      <w:r w:rsidR="00D32D02">
        <w:t xml:space="preserve">. </w:t>
      </w:r>
      <w:r>
        <w:t xml:space="preserve">This article determines to draw out the author’s persuasive agenda by investigating first the development of the light image, then considering the </w:t>
      </w:r>
      <w:r w:rsidR="00F80C03">
        <w:t xml:space="preserve">chiastic </w:t>
      </w:r>
      <w:r>
        <w:t>structure of the text and concluding with an examination of the glory concept.</w:t>
      </w:r>
    </w:p>
    <w:p w14:paraId="5BB900A0" w14:textId="77777777" w:rsidR="00071520" w:rsidRDefault="00071520" w:rsidP="00E950D3">
      <w:pPr>
        <w:spacing w:after="0" w:line="360" w:lineRule="auto"/>
        <w:ind w:firstLine="720"/>
        <w:jc w:val="both"/>
      </w:pPr>
    </w:p>
    <w:p w14:paraId="6359E0C6" w14:textId="35A8CB6D" w:rsidR="00930CF6" w:rsidRPr="0028163E" w:rsidRDefault="00327331" w:rsidP="00E950D3">
      <w:pPr>
        <w:pStyle w:val="Heading1"/>
        <w:jc w:val="both"/>
        <w:rPr>
          <w:b w:val="0"/>
        </w:rPr>
      </w:pPr>
      <w:r>
        <w:rPr>
          <w:b w:val="0"/>
        </w:rPr>
        <w:t>2</w:t>
      </w:r>
      <w:r w:rsidR="0076732D" w:rsidRPr="0028163E">
        <w:rPr>
          <w:b w:val="0"/>
        </w:rPr>
        <w:t>.</w:t>
      </w:r>
      <w:r w:rsidR="00064F77">
        <w:rPr>
          <w:b w:val="0"/>
        </w:rPr>
        <w:t xml:space="preserve"> Light as a Unifying Metaphor in the First Half of John’s Prologue</w:t>
      </w:r>
    </w:p>
    <w:p w14:paraId="0A11064B" w14:textId="392E6493" w:rsidR="00D81F08" w:rsidRPr="00D81F08" w:rsidRDefault="00767399" w:rsidP="00E950D3">
      <w:pPr>
        <w:spacing w:after="0" w:line="360" w:lineRule="auto"/>
        <w:ind w:firstLine="720"/>
        <w:jc w:val="both"/>
        <w:rPr>
          <w:rFonts w:cs="Times New Roman"/>
          <w:szCs w:val="24"/>
        </w:rPr>
      </w:pPr>
      <w:r>
        <w:t>The first words of John reach back to the ancient Jewish p</w:t>
      </w:r>
      <w:r w:rsidR="0029482F">
        <w:t>roclamation</w:t>
      </w:r>
      <w:r>
        <w:t>, “In the beginning … the earth was formless and void, and darkness was over the surface of the deep … then God said, ‘Let there be light’; and there was light” (Genesis 1:1-3, NASB).</w:t>
      </w:r>
      <w:r>
        <w:rPr>
          <w:rStyle w:val="FootnoteReference"/>
        </w:rPr>
        <w:footnoteReference w:id="4"/>
      </w:r>
      <w:r>
        <w:t xml:space="preserve"> The concepts of beginning, God, word, creati</w:t>
      </w:r>
      <w:r w:rsidR="0029482F">
        <w:t>on and light solidify John’s allusion to Genesis</w:t>
      </w:r>
      <w:r w:rsidR="00D32D02">
        <w:t xml:space="preserve">. </w:t>
      </w:r>
      <w:r w:rsidR="0029482F">
        <w:t>The allusion</w:t>
      </w:r>
      <w:r>
        <w:t xml:space="preserve"> invokes a</w:t>
      </w:r>
      <w:r w:rsidR="0029482F">
        <w:t xml:space="preserve"> silent,</w:t>
      </w:r>
      <w:r>
        <w:t xml:space="preserve"> black night, </w:t>
      </w:r>
      <w:r w:rsidR="0029482F">
        <w:t>into which a spoken word releases piercing light</w:t>
      </w:r>
      <w:r w:rsidR="00D32D02">
        <w:t xml:space="preserve">. </w:t>
      </w:r>
      <w:r>
        <w:t xml:space="preserve">The word </w:t>
      </w:r>
      <w:r w:rsidR="0029482F">
        <w:t>unleashes</w:t>
      </w:r>
      <w:r>
        <w:t xml:space="preserve"> creative pow</w:t>
      </w:r>
      <w:r w:rsidR="0029482F">
        <w:t>er</w:t>
      </w:r>
      <w:r w:rsidR="00D32D02">
        <w:t xml:space="preserve">. </w:t>
      </w:r>
      <w:r w:rsidR="0029482F">
        <w:t>John’s word</w:t>
      </w:r>
      <w:r w:rsidR="00590651">
        <w:rPr>
          <w:rStyle w:val="FootnoteReference"/>
        </w:rPr>
        <w:footnoteReference w:id="5"/>
      </w:r>
      <w:r w:rsidR="0029482F">
        <w:t xml:space="preserve"> is personified;</w:t>
      </w:r>
      <w:r>
        <w:t xml:space="preserve"> not spoken by God, but existing with God</w:t>
      </w:r>
      <w:r w:rsidR="00D32D02">
        <w:t xml:space="preserve">. </w:t>
      </w:r>
      <w:r>
        <w:t>Creation, life and light</w:t>
      </w:r>
      <w:r w:rsidR="00D8347A">
        <w:t xml:space="preserve"> </w:t>
      </w:r>
      <w:r w:rsidR="00510BE7">
        <w:t>proceed from</w:t>
      </w:r>
      <w:r>
        <w:t xml:space="preserve"> the personified word</w:t>
      </w:r>
      <w:r w:rsidR="00D32D02">
        <w:t xml:space="preserve">. </w:t>
      </w:r>
      <w:r>
        <w:t>The word, who was with</w:t>
      </w:r>
      <w:r w:rsidR="0029482F">
        <w:t xml:space="preserve"> God in the beginning, will</w:t>
      </w:r>
      <w:r>
        <w:t xml:space="preserve"> be identified as the light who comes into the world through a shift in identification that allows John </w:t>
      </w:r>
      <w:r w:rsidR="0029482F">
        <w:t>to develop the light metaphor in John 1:4-11</w:t>
      </w:r>
      <w:r>
        <w:t>.</w:t>
      </w:r>
      <w:r w:rsidR="00D81F08">
        <w:t xml:space="preserve"> </w:t>
      </w:r>
    </w:p>
    <w:p w14:paraId="0AF40A0B" w14:textId="7C1F558D" w:rsidR="00D9624A" w:rsidRDefault="0029482F" w:rsidP="00E950D3">
      <w:pPr>
        <w:spacing w:after="0" w:line="360" w:lineRule="auto"/>
        <w:ind w:firstLine="720"/>
        <w:jc w:val="both"/>
      </w:pPr>
      <w:r>
        <w:t xml:space="preserve">The </w:t>
      </w:r>
      <w:r w:rsidR="00767399">
        <w:t>Genesis a</w:t>
      </w:r>
      <w:r>
        <w:t>llusion provid</w:t>
      </w:r>
      <w:r w:rsidR="00DE21E9">
        <w:t>es</w:t>
      </w:r>
      <w:r>
        <w:t xml:space="preserve"> </w:t>
      </w:r>
      <w:r w:rsidR="00DE21E9">
        <w:t>the</w:t>
      </w:r>
      <w:r>
        <w:t xml:space="preserve"> initial context for</w:t>
      </w:r>
      <w:r w:rsidR="00767399">
        <w:t xml:space="preserve"> t</w:t>
      </w:r>
      <w:r>
        <w:t>he light metaphor, suggesting to</w:t>
      </w:r>
      <w:r w:rsidR="00767399">
        <w:t xml:space="preserve"> the consciousness of the reader light </w:t>
      </w:r>
      <w:r w:rsidR="00DE21E9">
        <w:t xml:space="preserve">newly </w:t>
      </w:r>
      <w:r w:rsidR="00767399">
        <w:t xml:space="preserve">shining </w:t>
      </w:r>
      <w:r>
        <w:t>in a</w:t>
      </w:r>
      <w:r w:rsidR="00DE21E9">
        <w:t xml:space="preserve"> formerly</w:t>
      </w:r>
      <w:r>
        <w:t xml:space="preserve"> lightless universe</w:t>
      </w:r>
      <w:r w:rsidR="00D32D02">
        <w:t xml:space="preserve">. </w:t>
      </w:r>
      <w:r>
        <w:t>In John 1:4</w:t>
      </w:r>
      <w:r w:rsidR="00767399">
        <w:t xml:space="preserve"> life is in the </w:t>
      </w:r>
      <w:r w:rsidR="006B210A">
        <w:t>w</w:t>
      </w:r>
      <w:r w:rsidR="00767399">
        <w:t>ord and somehow that life is the light of men</w:t>
      </w:r>
      <w:r w:rsidR="00D32D02">
        <w:t xml:space="preserve">. </w:t>
      </w:r>
      <w:r w:rsidR="00767399">
        <w:t>At this point the way John intends to use the light metaphor is undefined</w:t>
      </w:r>
      <w:r w:rsidR="00D32D02">
        <w:t xml:space="preserve">. </w:t>
      </w:r>
      <w:r w:rsidR="00767399">
        <w:t>Th</w:t>
      </w:r>
      <w:r>
        <w:t>e meaning is unclear</w:t>
      </w:r>
      <w:r w:rsidR="00D32D02">
        <w:t xml:space="preserve">. </w:t>
      </w:r>
      <w:r w:rsidR="007D15D8">
        <w:t xml:space="preserve">In describing the struggle between light and darkness, </w:t>
      </w:r>
      <w:r w:rsidR="00767399">
        <w:t xml:space="preserve">John uses the Greek word </w:t>
      </w:r>
      <w:r w:rsidR="00767399">
        <w:rPr>
          <w:lang w:val="el-GR"/>
        </w:rPr>
        <w:t xml:space="preserve">καταλαμβάνω </w:t>
      </w:r>
      <w:r w:rsidR="00767399">
        <w:t xml:space="preserve">which means literally </w:t>
      </w:r>
      <w:r w:rsidR="00D46EF5">
        <w:t>“</w:t>
      </w:r>
      <w:r w:rsidR="00767399">
        <w:t>to overcome</w:t>
      </w:r>
      <w:r w:rsidR="00D46EF5">
        <w:t>”</w:t>
      </w:r>
      <w:r w:rsidR="00767399">
        <w:t xml:space="preserve"> and figuratively </w:t>
      </w:r>
      <w:r w:rsidR="00D46EF5">
        <w:t>“</w:t>
      </w:r>
      <w:r w:rsidR="00767399">
        <w:t xml:space="preserve">to </w:t>
      </w:r>
      <w:r w:rsidR="00767399">
        <w:lastRenderedPageBreak/>
        <w:t>understand</w:t>
      </w:r>
      <w:r w:rsidR="00D46EF5">
        <w:t>”</w:t>
      </w:r>
      <w:r w:rsidR="00D32D02">
        <w:t xml:space="preserve">. </w:t>
      </w:r>
      <w:r w:rsidR="00D9624A">
        <w:t xml:space="preserve">Which meaning does John intend? </w:t>
      </w:r>
      <w:r w:rsidR="00767399">
        <w:t>Is the reader to imagine a power struggle with darkness failing to u</w:t>
      </w:r>
      <w:r w:rsidR="00E950D3">
        <w:t>ltimately extinguish the light?</w:t>
      </w:r>
      <w:r w:rsidR="00767399">
        <w:t xml:space="preserve"> Or is the reader </w:t>
      </w:r>
      <w:r w:rsidR="00D9624A">
        <w:t xml:space="preserve">to perceive </w:t>
      </w:r>
      <w:r w:rsidR="00767399">
        <w:t xml:space="preserve">a failure in the mind of darkness </w:t>
      </w:r>
      <w:r w:rsidR="00D9624A">
        <w:t>to</w:t>
      </w:r>
      <w:r w:rsidR="00767399">
        <w:t xml:space="preserve"> understand and accept </w:t>
      </w:r>
      <w:r w:rsidR="0099038E">
        <w:t>what the</w:t>
      </w:r>
      <w:r w:rsidR="00E950D3">
        <w:t xml:space="preserve"> light reveals?</w:t>
      </w:r>
      <w:r w:rsidR="00767399">
        <w:t xml:space="preserve"> </w:t>
      </w:r>
    </w:p>
    <w:p w14:paraId="1DE3A6E8" w14:textId="695604A9" w:rsidR="00D9624A" w:rsidRDefault="00D9624A" w:rsidP="00E950D3">
      <w:pPr>
        <w:spacing w:after="0" w:line="360" w:lineRule="auto"/>
        <w:ind w:firstLine="720"/>
        <w:jc w:val="both"/>
      </w:pPr>
      <w:r>
        <w:t>If failure to comprehend is the correct meaning</w:t>
      </w:r>
      <w:r w:rsidR="00767399">
        <w:t>, darkness must represent something that has cognizance, such as a person or group of persons, whether human or spiritual</w:t>
      </w:r>
      <w:r w:rsidR="00D32D02">
        <w:t xml:space="preserve">. </w:t>
      </w:r>
      <w:r w:rsidR="00767399">
        <w:t>The best test of John’s intended meaning comes from his usage of light and darkness in the gospel</w:t>
      </w:r>
      <w:r w:rsidR="00D32D02">
        <w:t xml:space="preserve">. </w:t>
      </w:r>
      <w:r w:rsidR="00767399">
        <w:t>Jesus will testify of himself, “I am the light of the world” (John 8</w:t>
      </w:r>
      <w:r w:rsidR="007D15D8">
        <w:t>:12)</w:t>
      </w:r>
      <w:r w:rsidR="00D32D02">
        <w:t xml:space="preserve">. </w:t>
      </w:r>
      <w:r w:rsidR="007D15D8">
        <w:t>John adds meaning to Jesus’</w:t>
      </w:r>
      <w:r w:rsidR="00767399">
        <w:t xml:space="preserve"> metaphorical use o</w:t>
      </w:r>
      <w:r w:rsidR="007D15D8">
        <w:t xml:space="preserve">f light through narrative. In the passage following </w:t>
      </w:r>
      <w:r w:rsidR="00A943A3">
        <w:t xml:space="preserve">his </w:t>
      </w:r>
      <w:r w:rsidR="00767399">
        <w:t>self-proclamation, Jesus dialogues with religious leaders in the presence of a crowd with the result that “many came to believe in him” (John 8:30)</w:t>
      </w:r>
      <w:r w:rsidR="00D32D02">
        <w:t xml:space="preserve">. </w:t>
      </w:r>
      <w:r w:rsidR="00767399">
        <w:t>By the end</w:t>
      </w:r>
      <w:r w:rsidR="00590651">
        <w:t xml:space="preserve"> </w:t>
      </w:r>
      <w:r w:rsidR="00767399">
        <w:t xml:space="preserve">of the chapter, however, the crowd has accused Jesus of being demon-possessed and </w:t>
      </w:r>
      <w:r w:rsidR="00CA3A96">
        <w:t xml:space="preserve">begun to </w:t>
      </w:r>
      <w:r w:rsidR="00767399">
        <w:t>pick up stones to stone him</w:t>
      </w:r>
      <w:r w:rsidR="00D32D02">
        <w:t xml:space="preserve">. </w:t>
      </w:r>
      <w:proofErr w:type="gramStart"/>
      <w:r w:rsidR="00767399">
        <w:t>It would seem that the</w:t>
      </w:r>
      <w:proofErr w:type="gramEnd"/>
      <w:r w:rsidR="00767399">
        <w:t xml:space="preserve"> light of the world has failed to bring about understanding in the crowd</w:t>
      </w:r>
      <w:r w:rsidR="00D32D02">
        <w:t xml:space="preserve">. </w:t>
      </w:r>
      <w:r w:rsidR="00767399">
        <w:t>Is this a representation of darkness overcoming light or dar</w:t>
      </w:r>
      <w:r w:rsidR="00E950D3">
        <w:t xml:space="preserve">kness not understanding light? </w:t>
      </w:r>
      <w:r w:rsidR="00767399">
        <w:t>The comparison continues in the following chapter. Jesus again declares, “I am the light of the world” (John 9:5) and again John provides the reader with a telling narrative</w:t>
      </w:r>
      <w:r w:rsidR="00D32D02">
        <w:t xml:space="preserve">. </w:t>
      </w:r>
      <w:r w:rsidR="00767399">
        <w:t>In this ca</w:t>
      </w:r>
      <w:r w:rsidR="007D15D8">
        <w:t>se Jesus heals a man born blind, a man literally living in darkness</w:t>
      </w:r>
      <w:r w:rsidR="00D32D02">
        <w:t xml:space="preserve">. </w:t>
      </w:r>
      <w:r w:rsidR="00767399">
        <w:t>Religious leaders dismiss the miracle and try to turn the blind man against Jesus</w:t>
      </w:r>
      <w:r w:rsidR="00D32D02">
        <w:t xml:space="preserve">. </w:t>
      </w:r>
      <w:r w:rsidR="00DE21E9">
        <w:t>T</w:t>
      </w:r>
      <w:r w:rsidR="00767399">
        <w:t>he chapter ends</w:t>
      </w:r>
      <w:r w:rsidR="00DE21E9">
        <w:t xml:space="preserve"> ironically</w:t>
      </w:r>
      <w:r w:rsidR="00767399">
        <w:t xml:space="preserve"> with the blind man seeing Jesus and the religious leaders being declared blind</w:t>
      </w:r>
      <w:r w:rsidR="00D32D02">
        <w:t xml:space="preserve">. </w:t>
      </w:r>
      <w:r w:rsidR="00767399">
        <w:t>If John is showing that darkness does not understand light, then the religious leaders must be equated with darkness</w:t>
      </w:r>
      <w:r w:rsidR="00D32D02">
        <w:t xml:space="preserve">. </w:t>
      </w:r>
      <w:r w:rsidR="00767399">
        <w:t xml:space="preserve">If John is showing that darkness does not overcome the light, then the blind man is an example of light’s </w:t>
      </w:r>
      <w:r>
        <w:t>victory</w:t>
      </w:r>
      <w:r w:rsidR="00D32D02">
        <w:t xml:space="preserve">. </w:t>
      </w:r>
    </w:p>
    <w:p w14:paraId="4A2B101C" w14:textId="276AA48B" w:rsidR="00767399" w:rsidRDefault="00767399" w:rsidP="00E950D3">
      <w:pPr>
        <w:spacing w:after="0" w:line="360" w:lineRule="auto"/>
        <w:ind w:firstLine="720"/>
        <w:jc w:val="both"/>
      </w:pPr>
      <w:r>
        <w:t>In direct reference to darkness, Jesus says, “he who follows me will not walk in darkness” (John 8:12) and “he who walks in the darkness does not see where he goes” (John 12:35)</w:t>
      </w:r>
      <w:r w:rsidR="00D32D02">
        <w:t xml:space="preserve">. </w:t>
      </w:r>
      <w:r w:rsidR="00D9624A">
        <w:t>In these references</w:t>
      </w:r>
      <w:r w:rsidR="00D32D02">
        <w:t xml:space="preserve"> </w:t>
      </w:r>
      <w:r>
        <w:t xml:space="preserve">John </w:t>
      </w:r>
      <w:r w:rsidR="00D9624A">
        <w:t>does not represent darkness as the human beings or demonic forces opposing Jesus</w:t>
      </w:r>
      <w:r w:rsidR="00D32D02">
        <w:t xml:space="preserve">. </w:t>
      </w:r>
      <w:r>
        <w:t xml:space="preserve">Rather, darkness </w:t>
      </w:r>
      <w:r w:rsidR="00A943A3">
        <w:t>describes</w:t>
      </w:r>
      <w:r>
        <w:t xml:space="preserve"> a state of existence that affects human ability to recognize the truth about Jesus</w:t>
      </w:r>
      <w:r w:rsidR="00D32D02">
        <w:t xml:space="preserve">. </w:t>
      </w:r>
      <w:r>
        <w:t>The religious leaders were unable to understand, not because they are darkness, but because the</w:t>
      </w:r>
      <w:r w:rsidR="007D15D8">
        <w:t>y</w:t>
      </w:r>
      <w:r>
        <w:t xml:space="preserve"> walk in a state of darkness</w:t>
      </w:r>
      <w:r w:rsidR="00D32D02">
        <w:t xml:space="preserve">. </w:t>
      </w:r>
      <w:r w:rsidR="00D9624A">
        <w:t xml:space="preserve">If darkness is a state of </w:t>
      </w:r>
      <w:proofErr w:type="gramStart"/>
      <w:r w:rsidR="00D9624A">
        <w:t>being</w:t>
      </w:r>
      <w:proofErr w:type="gramEnd"/>
      <w:r w:rsidR="00D9624A">
        <w:t xml:space="preserve"> then it is unlike</w:t>
      </w:r>
      <w:r w:rsidR="0099038E">
        <w:t>ly</w:t>
      </w:r>
      <w:r w:rsidR="00D9624A">
        <w:t xml:space="preserve"> that John </w:t>
      </w:r>
      <w:r w:rsidR="00A943A3">
        <w:t>communicates</w:t>
      </w:r>
      <w:r w:rsidR="00D9624A">
        <w:t xml:space="preserve"> in 1:5 that the darkness does not understand. John</w:t>
      </w:r>
      <w:r w:rsidR="0099038E">
        <w:t xml:space="preserve"> </w:t>
      </w:r>
      <w:r w:rsidR="00421F16">
        <w:t>pictures</w:t>
      </w:r>
      <w:r w:rsidR="0015620E">
        <w:t xml:space="preserve"> </w:t>
      </w:r>
      <w:r w:rsidR="00D9624A">
        <w:t>darkness</w:t>
      </w:r>
      <w:r w:rsidR="0099038E">
        <w:t xml:space="preserve"> as a force that resists the revelatory power of the light, but in the end this darkness does not successfully</w:t>
      </w:r>
      <w:r w:rsidR="00D9624A">
        <w:t xml:space="preserve"> </w:t>
      </w:r>
      <w:r w:rsidR="00D9624A">
        <w:lastRenderedPageBreak/>
        <w:t>overcome the light.</w:t>
      </w:r>
      <w:r w:rsidR="0099038E">
        <w:rPr>
          <w:rStyle w:val="FootnoteReference"/>
        </w:rPr>
        <w:footnoteReference w:id="6"/>
      </w:r>
      <w:r w:rsidR="00D9624A">
        <w:t xml:space="preserve"> </w:t>
      </w:r>
      <w:r w:rsidR="00D8347A">
        <w:t>Though John primarily communicates</w:t>
      </w:r>
      <w:r w:rsidR="00A943A3">
        <w:t xml:space="preserve"> that the darkness does not overcome the light, the secondary meaning of understanding hints at the nature of the power struggle.</w:t>
      </w:r>
      <w:r w:rsidR="0099038E">
        <w:t xml:space="preserve"> As a personified </w:t>
      </w:r>
      <w:r w:rsidR="00F85A87">
        <w:t xml:space="preserve">moral </w:t>
      </w:r>
      <w:r w:rsidR="0099038E">
        <w:t xml:space="preserve">state, darkness resists the light’s effort to enlighten by </w:t>
      </w:r>
      <w:r w:rsidR="00F85A87">
        <w:t>trapping</w:t>
      </w:r>
      <w:r w:rsidR="0099038E">
        <w:t xml:space="preserve"> the human mind</w:t>
      </w:r>
      <w:r w:rsidR="00F85A87">
        <w:t xml:space="preserve"> in</w:t>
      </w:r>
      <w:r w:rsidR="0099038E">
        <w:t xml:space="preserve"> </w:t>
      </w:r>
      <w:r w:rsidR="00F85A87">
        <w:t>shadowy gloom</w:t>
      </w:r>
      <w:r w:rsidR="0099038E">
        <w:t xml:space="preserve">. </w:t>
      </w:r>
      <w:r w:rsidR="00A943A3">
        <w:t xml:space="preserve">Darkness </w:t>
      </w:r>
      <w:r w:rsidR="00F85A87">
        <w:t>strives to overcome by obscuring a right understanding of</w:t>
      </w:r>
      <w:r w:rsidR="0099038E">
        <w:t xml:space="preserve"> the light.</w:t>
      </w:r>
    </w:p>
    <w:p w14:paraId="7115EA18" w14:textId="7C579910" w:rsidR="00767399" w:rsidRDefault="00767399" w:rsidP="00E950D3">
      <w:pPr>
        <w:spacing w:after="0" w:line="360" w:lineRule="auto"/>
        <w:ind w:firstLine="720"/>
        <w:jc w:val="both"/>
      </w:pPr>
      <w:r>
        <w:t xml:space="preserve">In </w:t>
      </w:r>
      <w:r w:rsidR="007D15D8">
        <w:t xml:space="preserve">John </w:t>
      </w:r>
      <w:r>
        <w:t>1:6 the writer introduces John the Baptist as a foil to the light.</w:t>
      </w:r>
      <w:r>
        <w:rPr>
          <w:rStyle w:val="FootnoteReference"/>
        </w:rPr>
        <w:footnoteReference w:id="7"/>
      </w:r>
      <w:r w:rsidR="00E950D3">
        <w:t xml:space="preserve"> </w:t>
      </w:r>
      <w:r>
        <w:t>The role of John the Baptist is to reveal truth about Jesus as a witness</w:t>
      </w:r>
      <w:r w:rsidR="00D32D02">
        <w:t xml:space="preserve">. </w:t>
      </w:r>
      <w:r>
        <w:t>Later in the gospel Jesus says that John the Baptist served as a lamp, provi</w:t>
      </w:r>
      <w:r w:rsidR="00B42656">
        <w:t>ding light until his own coming (John 5:35).</w:t>
      </w:r>
      <w:r>
        <w:t xml:space="preserve"> Be</w:t>
      </w:r>
      <w:r w:rsidR="007D15D8">
        <w:t>cause John the Baptist functioned</w:t>
      </w:r>
      <w:r>
        <w:t xml:space="preserve"> in a revelatory role, he could</w:t>
      </w:r>
      <w:r w:rsidR="00FC4318">
        <w:t xml:space="preserve"> be</w:t>
      </w:r>
      <w:r>
        <w:t xml:space="preserve"> mistakenly </w:t>
      </w:r>
      <w:r w:rsidR="00FC4318">
        <w:t>understood</w:t>
      </w:r>
      <w:r>
        <w:t xml:space="preserve"> as the writer’s referent for the light metaphor</w:t>
      </w:r>
      <w:r w:rsidR="00D32D02">
        <w:t xml:space="preserve">. </w:t>
      </w:r>
      <w:r>
        <w:t>The author makes c</w:t>
      </w:r>
      <w:r w:rsidR="005139B5">
        <w:t xml:space="preserve">lear, however, that </w:t>
      </w:r>
      <w:r>
        <w:t>John the Baptist is not the light being described here</w:t>
      </w:r>
      <w:r w:rsidR="00D32D02">
        <w:t xml:space="preserve">. </w:t>
      </w:r>
    </w:p>
    <w:p w14:paraId="70C29872" w14:textId="4797F924" w:rsidR="00767399" w:rsidRDefault="00767399" w:rsidP="00E950D3">
      <w:pPr>
        <w:spacing w:after="0" w:line="360" w:lineRule="auto"/>
        <w:ind w:firstLine="720"/>
        <w:jc w:val="both"/>
      </w:pPr>
      <w:r>
        <w:t>John develops the identity of the light in verses 9 through 11</w:t>
      </w:r>
      <w:r w:rsidR="00D32D02">
        <w:t xml:space="preserve">. </w:t>
      </w:r>
      <w:r>
        <w:t>The light will come</w:t>
      </w:r>
      <w:r w:rsidR="007D15D8">
        <w:t xml:space="preserve"> into the world and</w:t>
      </w:r>
      <w:r>
        <w:t xml:space="preserve"> perform a revelatory role as the one who “enlightens every man.</w:t>
      </w:r>
      <w:r w:rsidR="00281525">
        <w:t xml:space="preserve">” </w:t>
      </w:r>
      <w:r>
        <w:t xml:space="preserve">John links the light to the word as the one </w:t>
      </w:r>
      <w:r w:rsidR="00DF123B">
        <w:t>through whom the world is made (John 1:3, 10)</w:t>
      </w:r>
      <w:r w:rsidR="00D32D02">
        <w:t xml:space="preserve">. </w:t>
      </w:r>
      <w:r w:rsidR="007D15D8">
        <w:t>T</w:t>
      </w:r>
      <w:r>
        <w:t>he light will be resisted by the world and by those who are his own, suggesting t</w:t>
      </w:r>
      <w:r w:rsidR="007D15D8">
        <w:t>he work of darkness</w:t>
      </w:r>
      <w:r w:rsidR="00FC4318">
        <w:t xml:space="preserve"> which</w:t>
      </w:r>
      <w:r w:rsidR="007D15D8">
        <w:t xml:space="preserve"> fight</w:t>
      </w:r>
      <w:r w:rsidR="00FC4318">
        <w:t>s</w:t>
      </w:r>
      <w:r w:rsidR="007D15D8">
        <w:t xml:space="preserve"> to keep</w:t>
      </w:r>
      <w:r>
        <w:t xml:space="preserve"> the light at bay</w:t>
      </w:r>
      <w:r w:rsidR="00D32D02">
        <w:t xml:space="preserve">. </w:t>
      </w:r>
      <w:r>
        <w:t>The rejection of the light by the world creates tension w</w:t>
      </w:r>
      <w:r w:rsidR="007D15D8">
        <w:t xml:space="preserve">ith the previous claim that </w:t>
      </w:r>
      <w:r>
        <w:t>darkness does not overcome the light</w:t>
      </w:r>
      <w:r w:rsidR="00D32D02">
        <w:t xml:space="preserve">. </w:t>
      </w:r>
      <w:r>
        <w:t>John assures the reader in 1:12-13 that the rejection of the light is not t</w:t>
      </w:r>
      <w:r w:rsidR="007D15D8">
        <w:t>otal</w:t>
      </w:r>
      <w:r w:rsidR="00D32D02">
        <w:t xml:space="preserve">. </w:t>
      </w:r>
      <w:r w:rsidR="007D15D8">
        <w:t>Some will believe and be</w:t>
      </w:r>
      <w:r>
        <w:t xml:space="preserve"> born to new life</w:t>
      </w:r>
      <w:r w:rsidR="00D32D02">
        <w:t xml:space="preserve">. </w:t>
      </w:r>
      <w:r w:rsidR="007D15D8">
        <w:t>The initial allusion to Genesis created an image of word and light that John personified</w:t>
      </w:r>
      <w:r w:rsidR="00D32D02">
        <w:t xml:space="preserve">. </w:t>
      </w:r>
      <w:r w:rsidR="007D15D8">
        <w:t>As light pierced into the universe</w:t>
      </w:r>
      <w:r w:rsidR="005139B5">
        <w:t xml:space="preserve"> at creation</w:t>
      </w:r>
      <w:r w:rsidR="007D15D8">
        <w:t>, so also a new light has entered the world piercing the darkness that binds human beings</w:t>
      </w:r>
      <w:r w:rsidR="00D86DB2">
        <w:t>, pointing the way to a new, familial relationship with God.</w:t>
      </w:r>
    </w:p>
    <w:p w14:paraId="745F45D2" w14:textId="77777777" w:rsidR="00071520" w:rsidRDefault="00071520" w:rsidP="00E950D3">
      <w:pPr>
        <w:spacing w:after="0" w:line="360" w:lineRule="auto"/>
        <w:ind w:firstLine="720"/>
        <w:jc w:val="both"/>
        <w:rPr>
          <w:rFonts w:cs="Times New Roman"/>
          <w:caps/>
          <w:szCs w:val="24"/>
          <w:lang w:val="el-GR"/>
        </w:rPr>
      </w:pPr>
    </w:p>
    <w:p w14:paraId="06068599" w14:textId="28234FA8" w:rsidR="00767399" w:rsidRPr="00930CF6" w:rsidRDefault="00327331" w:rsidP="00E950D3">
      <w:pPr>
        <w:pStyle w:val="Heading1"/>
        <w:jc w:val="both"/>
        <w:rPr>
          <w:b w:val="0"/>
        </w:rPr>
      </w:pPr>
      <w:r>
        <w:rPr>
          <w:b w:val="0"/>
        </w:rPr>
        <w:t>3</w:t>
      </w:r>
      <w:r w:rsidR="00930CF6" w:rsidRPr="00930CF6">
        <w:rPr>
          <w:b w:val="0"/>
        </w:rPr>
        <w:t xml:space="preserve">. </w:t>
      </w:r>
      <w:r w:rsidR="00064F77">
        <w:rPr>
          <w:b w:val="0"/>
        </w:rPr>
        <w:t>The Chiastic Structure of John’s Prologue</w:t>
      </w:r>
    </w:p>
    <w:p w14:paraId="433FFF3F" w14:textId="19ACD540" w:rsidR="00767399" w:rsidRDefault="00767399" w:rsidP="00E950D3">
      <w:pPr>
        <w:spacing w:after="0" w:line="360" w:lineRule="auto"/>
        <w:ind w:firstLine="720"/>
        <w:jc w:val="both"/>
      </w:pPr>
      <w:r>
        <w:t>The linear development of John 1:1-13 breaks in John 1:14 with the shift back from light to word and the shocking statement that the word which made everything also became flesh</w:t>
      </w:r>
      <w:r w:rsidR="00D32D02">
        <w:t xml:space="preserve">. </w:t>
      </w:r>
      <w:r>
        <w:t>Oddly, John then makes a repetitive reference to the witness</w:t>
      </w:r>
      <w:r w:rsidR="00D86DB2">
        <w:t xml:space="preserve"> of John the Baptists in verse 15</w:t>
      </w:r>
      <w:r w:rsidR="00D32D02">
        <w:t xml:space="preserve">. </w:t>
      </w:r>
      <w:r>
        <w:t>The writer had already established John as a witness in John 1:6-8</w:t>
      </w:r>
      <w:r w:rsidR="00D32D02">
        <w:t xml:space="preserve">. </w:t>
      </w:r>
      <w:r>
        <w:t>The second reference does add new information regarding the witness, but the reference feels misplaced because of the distance from the earlie</w:t>
      </w:r>
      <w:r w:rsidR="00D86DB2">
        <w:t>r reference</w:t>
      </w:r>
      <w:r>
        <w:t xml:space="preserve"> and because it breaks up the flow of thought regarding grace and truth that occurs in verses 14, 16 and 17</w:t>
      </w:r>
      <w:r w:rsidR="0028163E">
        <w:t>.</w:t>
      </w:r>
      <w:r>
        <w:t xml:space="preserve"> Since verse 14 would flow nicely into verse 16, the question naturally arises, </w:t>
      </w:r>
      <w:r>
        <w:lastRenderedPageBreak/>
        <w:t>“Why quote the Baptist here?”</w:t>
      </w:r>
      <w:r w:rsidR="00E950D3">
        <w:t xml:space="preserve"> </w:t>
      </w:r>
      <w:r w:rsidR="00D86DB2">
        <w:t>The repetition of the Baptist provides a clue to the nature of John’s structure</w:t>
      </w:r>
      <w:r w:rsidR="00D32D02">
        <w:t xml:space="preserve">. </w:t>
      </w:r>
    </w:p>
    <w:p w14:paraId="63B3C7DA" w14:textId="1FA365B5" w:rsidR="007E183A" w:rsidRDefault="00767399" w:rsidP="00E950D3">
      <w:pPr>
        <w:spacing w:after="0" w:line="360" w:lineRule="auto"/>
        <w:ind w:firstLine="720"/>
        <w:jc w:val="both"/>
      </w:pPr>
      <w:r>
        <w:t>Following up this interesting textual clue reveals further parallels in the prologue well explained by a chiastic</w:t>
      </w:r>
      <w:r w:rsidR="00985D5E">
        <w:rPr>
          <w:rStyle w:val="FootnoteReference"/>
        </w:rPr>
        <w:footnoteReference w:id="8"/>
      </w:r>
      <w:r>
        <w:t xml:space="preserve"> arrangement of the text</w:t>
      </w:r>
      <w:r w:rsidR="00D32D02">
        <w:t xml:space="preserve">. </w:t>
      </w:r>
      <w:r w:rsidR="007E183A">
        <w:t>Both Old Testament and New Testament authors employ chiastic parallelism. A</w:t>
      </w:r>
      <w:r w:rsidR="00985D5E">
        <w:t>n author produces a chiastic arrangement by paralleling the first item with the last item, the second item with the second to last item, the third item with the third to last item and so on</w:t>
      </w:r>
      <w:r w:rsidR="00D32D02">
        <w:t xml:space="preserve">. </w:t>
      </w:r>
      <w:r>
        <w:t>A chiastic structure is not limited by the number of parallel elements and may contain an unparalleled pivot point in the middle of the structure</w:t>
      </w:r>
      <w:r w:rsidR="00D32D02">
        <w:t xml:space="preserve">. </w:t>
      </w:r>
      <w:r>
        <w:t xml:space="preserve">Chiastic structure is also not limited to </w:t>
      </w:r>
      <w:r w:rsidR="007E183A">
        <w:t xml:space="preserve">a </w:t>
      </w:r>
      <w:proofErr w:type="gramStart"/>
      <w:r w:rsidR="007E183A">
        <w:t>particular Biblical</w:t>
      </w:r>
      <w:proofErr w:type="gramEnd"/>
      <w:r>
        <w:t xml:space="preserve"> genre.</w:t>
      </w:r>
      <w:r>
        <w:rPr>
          <w:rStyle w:val="FootnoteReference"/>
        </w:rPr>
        <w:footnoteReference w:id="9"/>
      </w:r>
      <w:r>
        <w:t xml:space="preserve"> </w:t>
      </w:r>
    </w:p>
    <w:p w14:paraId="30D2106D" w14:textId="579BFF7D" w:rsidR="00767399" w:rsidRDefault="00767399" w:rsidP="00E950D3">
      <w:pPr>
        <w:spacing w:after="0" w:line="360" w:lineRule="auto"/>
        <w:ind w:firstLine="720"/>
        <w:jc w:val="both"/>
      </w:pPr>
      <w:r>
        <w:t xml:space="preserve">Paul’s chiasm in Romans 10:9-10 provides a </w:t>
      </w:r>
      <w:r w:rsidR="00D86DB2">
        <w:t>useful</w:t>
      </w:r>
      <w:r>
        <w:t xml:space="preserve"> example through the clear parallelism of identical words (confess, mouth, believe, heart) that point to an unparalleled middle phrase (you shall be saved)</w:t>
      </w:r>
      <w:r w:rsidR="00D32D02">
        <w:t xml:space="preserve">. </w:t>
      </w:r>
      <w:r w:rsidR="005139B5">
        <w:t>C</w:t>
      </w:r>
      <w:r>
        <w:t>hiastic structure may be lost in translation</w:t>
      </w:r>
      <w:r w:rsidR="00E90CB6">
        <w:t xml:space="preserve"> from the original Greek</w:t>
      </w:r>
      <w:r>
        <w:t xml:space="preserve"> when meaning is better communicated through an adjustment of the word order</w:t>
      </w:r>
      <w:r w:rsidR="00D32D02">
        <w:t xml:space="preserve">. </w:t>
      </w:r>
      <w:r>
        <w:t>The following example maintains the order of</w:t>
      </w:r>
      <w:r w:rsidR="00C50A84">
        <w:t xml:space="preserve"> the significant words in</w:t>
      </w:r>
      <w:r>
        <w:t xml:space="preserve"> Paul’s Greek.</w:t>
      </w:r>
    </w:p>
    <w:p w14:paraId="05CCF6E7" w14:textId="77777777"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767399">
        <w:t xml:space="preserve">A That if you </w:t>
      </w:r>
      <w:r w:rsidR="00767399">
        <w:rPr>
          <w:u w:val="single"/>
        </w:rPr>
        <w:t>confess</w:t>
      </w:r>
    </w:p>
    <w:p w14:paraId="2328A31C" w14:textId="77777777"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DB64A3">
        <w:tab/>
      </w:r>
      <w:r w:rsidR="00767399">
        <w:t xml:space="preserve">B with your </w:t>
      </w:r>
      <w:r w:rsidR="00767399">
        <w:rPr>
          <w:u w:val="single"/>
        </w:rPr>
        <w:t>mouth</w:t>
      </w:r>
      <w:r w:rsidR="00767399">
        <w:t xml:space="preserve"> Jesus as Lord</w:t>
      </w:r>
    </w:p>
    <w:p w14:paraId="69061C92" w14:textId="77777777"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DB64A3">
        <w:tab/>
      </w:r>
      <w:r w:rsidR="00DB64A3">
        <w:tab/>
        <w:t xml:space="preserve">C </w:t>
      </w:r>
      <w:r w:rsidR="00767399">
        <w:t xml:space="preserve">and </w:t>
      </w:r>
      <w:r w:rsidR="00767399">
        <w:rPr>
          <w:u w:val="single"/>
        </w:rPr>
        <w:t>believe</w:t>
      </w:r>
      <w:r w:rsidR="00767399">
        <w:tab/>
      </w:r>
    </w:p>
    <w:p w14:paraId="2A82FE1C" w14:textId="77777777"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DB64A3">
        <w:tab/>
      </w:r>
      <w:r w:rsidR="00DB64A3">
        <w:tab/>
      </w:r>
      <w:r w:rsidR="00DB64A3">
        <w:tab/>
      </w:r>
      <w:r w:rsidR="00B40D8D">
        <w:t>D</w:t>
      </w:r>
      <w:r w:rsidR="00DB64A3">
        <w:t xml:space="preserve"> </w:t>
      </w:r>
      <w:r w:rsidR="00767399">
        <w:t xml:space="preserve">in your </w:t>
      </w:r>
      <w:r w:rsidR="00767399">
        <w:rPr>
          <w:u w:val="single"/>
        </w:rPr>
        <w:t>heart</w:t>
      </w:r>
      <w:r w:rsidR="00767399">
        <w:t xml:space="preserve"> that God raised Him from the dead,</w:t>
      </w:r>
    </w:p>
    <w:p w14:paraId="7E5B2F51" w14:textId="77777777"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DB64A3">
        <w:tab/>
      </w:r>
      <w:r w:rsidR="00DB64A3">
        <w:tab/>
      </w:r>
      <w:r w:rsidR="00DB64A3">
        <w:tab/>
      </w:r>
      <w:r w:rsidR="00DB64A3">
        <w:tab/>
      </w:r>
      <w:r w:rsidR="00B40D8D">
        <w:t>E</w:t>
      </w:r>
      <w:r w:rsidR="00DB64A3">
        <w:t xml:space="preserve"> </w:t>
      </w:r>
      <w:r w:rsidR="00767399">
        <w:t>you shall be saved</w:t>
      </w:r>
    </w:p>
    <w:p w14:paraId="0B332AA5" w14:textId="77777777"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DB64A3">
        <w:tab/>
      </w:r>
      <w:r w:rsidR="00DB64A3">
        <w:tab/>
      </w:r>
      <w:r w:rsidR="00DB64A3">
        <w:tab/>
      </w:r>
      <w:r w:rsidR="00B40D8D">
        <w:t>D’</w:t>
      </w:r>
      <w:r w:rsidR="00DB64A3">
        <w:t xml:space="preserve"> </w:t>
      </w:r>
      <w:r w:rsidR="00767399">
        <w:t xml:space="preserve">for with the </w:t>
      </w:r>
      <w:r w:rsidR="00767399">
        <w:rPr>
          <w:u w:val="single"/>
        </w:rPr>
        <w:t>heart</w:t>
      </w:r>
    </w:p>
    <w:p w14:paraId="44F7A4ED" w14:textId="77777777"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DB64A3">
        <w:tab/>
      </w:r>
      <w:r w:rsidR="00DB64A3">
        <w:tab/>
      </w:r>
      <w:r w:rsidR="00767399">
        <w:t>C’</w:t>
      </w:r>
      <w:r w:rsidR="00DB64A3">
        <w:t xml:space="preserve"> </w:t>
      </w:r>
      <w:r w:rsidR="00767399">
        <w:t xml:space="preserve">man </w:t>
      </w:r>
      <w:r w:rsidR="00767399">
        <w:rPr>
          <w:u w:val="single"/>
        </w:rPr>
        <w:t>believes</w:t>
      </w:r>
      <w:r w:rsidR="00767399">
        <w:t xml:space="preserve"> resulting in righteousness</w:t>
      </w:r>
    </w:p>
    <w:p w14:paraId="6B7EFFA5" w14:textId="77777777"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DB64A3">
        <w:tab/>
      </w:r>
      <w:r w:rsidR="00767399">
        <w:t xml:space="preserve">B’ and with the </w:t>
      </w:r>
      <w:r w:rsidR="00767399">
        <w:rPr>
          <w:u w:val="single"/>
        </w:rPr>
        <w:t>mouth</w:t>
      </w:r>
      <w:r w:rsidR="00767399">
        <w:t xml:space="preserve"> </w:t>
      </w:r>
    </w:p>
    <w:p w14:paraId="02225E32" w14:textId="2E6FB5E1" w:rsidR="00767399" w:rsidRDefault="00C50A84" w:rsidP="00E950D3">
      <w:pPr>
        <w:tabs>
          <w:tab w:val="left" w:pos="1134"/>
          <w:tab w:val="left" w:pos="1701"/>
          <w:tab w:val="left" w:pos="2268"/>
          <w:tab w:val="left" w:pos="2835"/>
          <w:tab w:val="left" w:pos="3402"/>
        </w:tabs>
        <w:spacing w:after="0" w:line="360" w:lineRule="auto"/>
        <w:ind w:firstLine="720"/>
        <w:jc w:val="both"/>
      </w:pPr>
      <w:r>
        <w:tab/>
      </w:r>
      <w:r w:rsidR="00767399">
        <w:t xml:space="preserve">A’ he </w:t>
      </w:r>
      <w:r w:rsidR="00767399">
        <w:rPr>
          <w:u w:val="single"/>
        </w:rPr>
        <w:t>confesses</w:t>
      </w:r>
      <w:r w:rsidR="00767399">
        <w:t>, resulting in salvation.</w:t>
      </w:r>
      <w:r w:rsidR="001A3149">
        <w:rPr>
          <w:rStyle w:val="FootnoteReference"/>
        </w:rPr>
        <w:footnoteReference w:id="10"/>
      </w:r>
    </w:p>
    <w:p w14:paraId="7B846460" w14:textId="2E7E1DA9" w:rsidR="00C50A84" w:rsidRDefault="00810194" w:rsidP="00E950D3">
      <w:pPr>
        <w:spacing w:after="0" w:line="360" w:lineRule="auto"/>
        <w:ind w:firstLine="720"/>
        <w:jc w:val="both"/>
      </w:pPr>
      <w:r>
        <w:t xml:space="preserve">Turning again to John’s prologue, a chiastic </w:t>
      </w:r>
      <w:r w:rsidR="00D86DB2">
        <w:t>example</w:t>
      </w:r>
      <w:r w:rsidR="001A66D4">
        <w:t xml:space="preserve"> appears immediately</w:t>
      </w:r>
      <w:r w:rsidR="00C50A84">
        <w:t xml:space="preserve">. </w:t>
      </w:r>
      <w:r w:rsidR="00352383">
        <w:t>The fol</w:t>
      </w:r>
      <w:r w:rsidR="001A66D4">
        <w:t>lowing is a rough translation of Jo</w:t>
      </w:r>
      <w:r w:rsidR="00D86DB2">
        <w:t xml:space="preserve">hn 1:1-2 that </w:t>
      </w:r>
      <w:r w:rsidR="001A66D4">
        <w:t>maintain</w:t>
      </w:r>
      <w:r w:rsidR="00D86DB2">
        <w:t>s</w:t>
      </w:r>
      <w:r w:rsidR="001A66D4">
        <w:t xml:space="preserve"> the author’s</w:t>
      </w:r>
      <w:r w:rsidR="00352383">
        <w:t xml:space="preserve"> Gree</w:t>
      </w:r>
      <w:r w:rsidR="001A66D4">
        <w:t xml:space="preserve">k word </w:t>
      </w:r>
      <w:r w:rsidR="001A66D4">
        <w:lastRenderedPageBreak/>
        <w:t>order</w:t>
      </w:r>
      <w:r w:rsidR="00D32D02">
        <w:t xml:space="preserve">. </w:t>
      </w:r>
      <w:r w:rsidR="001A66D4">
        <w:t>T</w:t>
      </w:r>
      <w:r>
        <w:t xml:space="preserve">his </w:t>
      </w:r>
      <w:r w:rsidR="001A66D4">
        <w:t>chiastic pattern links each line together by repeating the final word of the line at the beginning of the next line.</w:t>
      </w:r>
      <w:r>
        <w:rPr>
          <w:rStyle w:val="FootnoteReference"/>
        </w:rPr>
        <w:footnoteReference w:id="11"/>
      </w:r>
    </w:p>
    <w:p w14:paraId="210BAA45" w14:textId="77777777" w:rsidR="00C50A84" w:rsidRDefault="00930CF6" w:rsidP="00E950D3">
      <w:pPr>
        <w:tabs>
          <w:tab w:val="left" w:pos="1134"/>
          <w:tab w:val="left" w:pos="1701"/>
        </w:tabs>
        <w:spacing w:after="0" w:line="360" w:lineRule="auto"/>
        <w:ind w:firstLine="720"/>
        <w:jc w:val="both"/>
      </w:pPr>
      <w:r>
        <w:tab/>
        <w:t xml:space="preserve">A </w:t>
      </w:r>
      <w:r w:rsidR="00C50A84">
        <w:t xml:space="preserve">In the </w:t>
      </w:r>
      <w:r w:rsidR="00C50A84" w:rsidRPr="00D86DB2">
        <w:rPr>
          <w:u w:val="single"/>
        </w:rPr>
        <w:t>beginning</w:t>
      </w:r>
      <w:r w:rsidR="00C50A84">
        <w:t xml:space="preserve"> was the </w:t>
      </w:r>
      <w:r w:rsidR="00C50A84" w:rsidRPr="00D86DB2">
        <w:rPr>
          <w:u w:val="single"/>
        </w:rPr>
        <w:t>word</w:t>
      </w:r>
    </w:p>
    <w:p w14:paraId="578FD921" w14:textId="77777777" w:rsidR="00C50A84" w:rsidRDefault="00C50A84" w:rsidP="00E950D3">
      <w:pPr>
        <w:tabs>
          <w:tab w:val="left" w:pos="1134"/>
          <w:tab w:val="left" w:pos="1701"/>
        </w:tabs>
        <w:spacing w:after="0" w:line="360" w:lineRule="auto"/>
        <w:ind w:firstLine="720"/>
        <w:jc w:val="both"/>
      </w:pPr>
      <w:r>
        <w:tab/>
      </w:r>
      <w:r>
        <w:tab/>
      </w:r>
      <w:r w:rsidR="00930CF6">
        <w:t xml:space="preserve">B </w:t>
      </w:r>
      <w:r w:rsidR="00352383">
        <w:t xml:space="preserve">and the </w:t>
      </w:r>
      <w:r w:rsidR="00352383" w:rsidRPr="00D86DB2">
        <w:rPr>
          <w:u w:val="single"/>
        </w:rPr>
        <w:t>word</w:t>
      </w:r>
      <w:r w:rsidR="008E5D34">
        <w:t xml:space="preserve"> was with</w:t>
      </w:r>
      <w:r w:rsidR="00352383">
        <w:t xml:space="preserve"> </w:t>
      </w:r>
      <w:r w:rsidR="00352383" w:rsidRPr="00D86DB2">
        <w:rPr>
          <w:u w:val="single"/>
        </w:rPr>
        <w:t>God</w:t>
      </w:r>
    </w:p>
    <w:p w14:paraId="4489AC71" w14:textId="77777777" w:rsidR="00352383" w:rsidRDefault="00352383" w:rsidP="00E950D3">
      <w:pPr>
        <w:tabs>
          <w:tab w:val="left" w:pos="1134"/>
          <w:tab w:val="left" w:pos="1701"/>
        </w:tabs>
        <w:spacing w:after="0" w:line="360" w:lineRule="auto"/>
        <w:ind w:firstLine="720"/>
        <w:jc w:val="both"/>
      </w:pPr>
      <w:r>
        <w:tab/>
      </w:r>
      <w:r>
        <w:tab/>
      </w:r>
      <w:r w:rsidR="00930CF6">
        <w:t xml:space="preserve">B’ </w:t>
      </w:r>
      <w:r>
        <w:t xml:space="preserve">and </w:t>
      </w:r>
      <w:r w:rsidRPr="00D86DB2">
        <w:rPr>
          <w:u w:val="single"/>
        </w:rPr>
        <w:t>God</w:t>
      </w:r>
      <w:r>
        <w:t xml:space="preserve"> was the </w:t>
      </w:r>
      <w:r w:rsidRPr="00D86DB2">
        <w:rPr>
          <w:u w:val="single"/>
        </w:rPr>
        <w:t>word</w:t>
      </w:r>
      <w:r>
        <w:t>.</w:t>
      </w:r>
    </w:p>
    <w:p w14:paraId="70A942A4" w14:textId="77777777" w:rsidR="00C50A84" w:rsidRDefault="00930CF6" w:rsidP="00E950D3">
      <w:pPr>
        <w:tabs>
          <w:tab w:val="left" w:pos="1134"/>
          <w:tab w:val="left" w:pos="1701"/>
        </w:tabs>
        <w:spacing w:after="0" w:line="360" w:lineRule="auto"/>
        <w:ind w:firstLine="720"/>
        <w:jc w:val="both"/>
      </w:pPr>
      <w:r>
        <w:tab/>
        <w:t xml:space="preserve">A’ </w:t>
      </w:r>
      <w:r w:rsidR="00352383" w:rsidRPr="00D86DB2">
        <w:rPr>
          <w:u w:val="single"/>
        </w:rPr>
        <w:t>He</w:t>
      </w:r>
      <w:r w:rsidR="00352383">
        <w:t xml:space="preserve"> was in the </w:t>
      </w:r>
      <w:r w:rsidR="00352383" w:rsidRPr="00D86DB2">
        <w:rPr>
          <w:u w:val="single"/>
        </w:rPr>
        <w:t>beginning</w:t>
      </w:r>
      <w:r w:rsidR="008E5D34">
        <w:t xml:space="preserve"> with</w:t>
      </w:r>
      <w:r w:rsidR="00352383">
        <w:t xml:space="preserve"> </w:t>
      </w:r>
      <w:r w:rsidR="00352383" w:rsidRPr="00F405A9">
        <w:t>God</w:t>
      </w:r>
    </w:p>
    <w:p w14:paraId="286E7462" w14:textId="61DF0FAA" w:rsidR="00767399" w:rsidRDefault="00352383" w:rsidP="00E950D3">
      <w:pPr>
        <w:spacing w:after="0" w:line="360" w:lineRule="auto"/>
        <w:ind w:firstLine="720"/>
        <w:jc w:val="both"/>
      </w:pPr>
      <w:r>
        <w:t xml:space="preserve">John Staley </w:t>
      </w:r>
      <w:r w:rsidR="00810194">
        <w:t>rec</w:t>
      </w:r>
      <w:r w:rsidR="008E5D34">
        <w:t>ognizes this</w:t>
      </w:r>
      <w:r w:rsidR="001A66D4">
        <w:t xml:space="preserve"> use of chiasm in the first lines</w:t>
      </w:r>
      <w:r w:rsidR="00810194">
        <w:t xml:space="preserve"> of the prologue as an invitation to consider whether the author will repeat this type of arrangement.</w:t>
      </w:r>
      <w:r w:rsidR="00810194">
        <w:rPr>
          <w:rStyle w:val="FootnoteReference"/>
        </w:rPr>
        <w:footnoteReference w:id="12"/>
      </w:r>
      <w:r w:rsidR="001A66D4">
        <w:t xml:space="preserve"> Combining this micro example of chiasm in the first two </w:t>
      </w:r>
      <w:r w:rsidR="00F2557B">
        <w:t xml:space="preserve">verses with the macro clue of repetition regarding </w:t>
      </w:r>
      <w:r w:rsidR="001A66D4">
        <w:t>John the Baptist’</w:t>
      </w:r>
      <w:r w:rsidR="00F2557B">
        <w:t xml:space="preserve">s witness, the </w:t>
      </w:r>
      <w:r w:rsidR="001A66D4">
        <w:t xml:space="preserve">reader becomes justified in </w:t>
      </w:r>
      <w:r w:rsidR="00E94B0B">
        <w:t>s</w:t>
      </w:r>
      <w:r w:rsidR="008E5D34">
        <w:t>earching for parallel stanzas</w:t>
      </w:r>
      <w:r w:rsidR="00E94B0B">
        <w:t xml:space="preserve"> that create an arrangement for the whole of the prologue</w:t>
      </w:r>
      <w:r w:rsidR="00D32D02">
        <w:t xml:space="preserve">. </w:t>
      </w:r>
      <w:r w:rsidR="00E94B0B">
        <w:t>The following division of the text agrees with</w:t>
      </w:r>
      <w:r w:rsidR="008E5D34">
        <w:t xml:space="preserve"> the chiastic structure identified by</w:t>
      </w:r>
      <w:r w:rsidR="00E94B0B">
        <w:t xml:space="preserve"> Staley.</w:t>
      </w:r>
      <w:r w:rsidR="00E94B0B">
        <w:rPr>
          <w:rStyle w:val="FootnoteReference"/>
        </w:rPr>
        <w:footnoteReference w:id="13"/>
      </w:r>
    </w:p>
    <w:p w14:paraId="30738F2C" w14:textId="77777777" w:rsidR="00767399" w:rsidRDefault="00DA3B8C" w:rsidP="00E950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284"/>
        <w:jc w:val="both"/>
      </w:pPr>
      <w:r>
        <w:tab/>
      </w:r>
      <w:r w:rsidR="00F81163">
        <w:t>A</w:t>
      </w:r>
      <w:r w:rsidR="00F81163">
        <w:tab/>
      </w:r>
      <w:r w:rsidR="00767399">
        <w:t>With God and Making God Known (Nature and Role)</w:t>
      </w:r>
    </w:p>
    <w:p w14:paraId="5C484DF8" w14:textId="77777777" w:rsidR="00F81163" w:rsidRDefault="00767399" w:rsidP="00E950D3">
      <w:pPr>
        <w:tabs>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851"/>
        <w:jc w:val="both"/>
      </w:pPr>
      <w:r w:rsidRPr="007F17DE">
        <w:rPr>
          <w:i/>
        </w:rPr>
        <w:t>In the beginning was the Word, and the Word was with God, and the Word was God. He was in the beginning with God. All things came into being through Him, and apart from Him nothing came into being that has come into being. In Him was life, and the life was the Light of men. The Light shines in the darkness, and the darkness did not comprehend it</w:t>
      </w:r>
      <w:r>
        <w:t xml:space="preserve"> (John 1:1-5).</w:t>
      </w:r>
    </w:p>
    <w:p w14:paraId="5CE40BC4" w14:textId="4ADBE081" w:rsidR="00767399" w:rsidRPr="00F81163" w:rsidRDefault="00DB64A3" w:rsidP="00E950D3">
      <w:pPr>
        <w:tabs>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851"/>
        <w:jc w:val="both"/>
      </w:pPr>
      <w:r>
        <w:tab/>
      </w:r>
      <w:r w:rsidR="00281525">
        <w:t>B</w:t>
      </w:r>
      <w:r w:rsidR="00F81163">
        <w:tab/>
      </w:r>
      <w:r w:rsidR="00767399">
        <w:t>Witness of John the Baptist</w:t>
      </w:r>
      <w:r w:rsidR="00B57DF0">
        <w:t xml:space="preserve"> (Witness)</w:t>
      </w:r>
    </w:p>
    <w:p w14:paraId="33A454E4" w14:textId="77777777" w:rsidR="00F81163" w:rsidRDefault="00767399" w:rsidP="00E950D3">
      <w:pPr>
        <w:tabs>
          <w:tab w:val="left" w:pos="567"/>
          <w:tab w:val="left" w:pos="851"/>
          <w:tab w:val="left" w:pos="1418"/>
          <w:tab w:val="left" w:pos="1701"/>
          <w:tab w:val="left" w:pos="1985"/>
          <w:tab w:val="left" w:pos="2268"/>
          <w:tab w:val="left" w:pos="2552"/>
          <w:tab w:val="left" w:pos="2835"/>
          <w:tab w:val="left" w:pos="3119"/>
          <w:tab w:val="left" w:pos="3402"/>
          <w:tab w:val="left" w:pos="3969"/>
        </w:tabs>
        <w:spacing w:after="0" w:line="360" w:lineRule="auto"/>
        <w:ind w:left="1418"/>
        <w:jc w:val="both"/>
      </w:pPr>
      <w:r w:rsidRPr="007F17DE">
        <w:rPr>
          <w:i/>
        </w:rPr>
        <w:t xml:space="preserve">There came a man sent from God, whose name was John. He came as a witness, to testify about the Light, so that all might believe through him. He was not the Light, but </w:t>
      </w:r>
      <w:r w:rsidRPr="007F17DE">
        <w:rPr>
          <w:i/>
          <w:iCs/>
        </w:rPr>
        <w:t>he came</w:t>
      </w:r>
      <w:r w:rsidRPr="007F17DE">
        <w:rPr>
          <w:i/>
        </w:rPr>
        <w:t xml:space="preserve"> to testify about the Light</w:t>
      </w:r>
      <w:r>
        <w:t xml:space="preserve"> (John 1:6-8).</w:t>
      </w:r>
    </w:p>
    <w:p w14:paraId="42597DE1" w14:textId="7A94FFB1" w:rsidR="00767399" w:rsidRDefault="00DB64A3" w:rsidP="00E950D3">
      <w:pPr>
        <w:tabs>
          <w:tab w:val="left" w:pos="567"/>
          <w:tab w:val="left" w:pos="851"/>
          <w:tab w:val="left" w:pos="1418"/>
          <w:tab w:val="left" w:pos="1701"/>
          <w:tab w:val="left" w:pos="1985"/>
          <w:tab w:val="left" w:pos="2268"/>
          <w:tab w:val="left" w:pos="2552"/>
          <w:tab w:val="left" w:pos="2835"/>
          <w:tab w:val="left" w:pos="3119"/>
          <w:tab w:val="left" w:pos="3402"/>
          <w:tab w:val="left" w:pos="3969"/>
        </w:tabs>
        <w:spacing w:after="0" w:line="360" w:lineRule="auto"/>
        <w:ind w:left="1134"/>
        <w:jc w:val="both"/>
      </w:pPr>
      <w:r>
        <w:tab/>
      </w:r>
      <w:r>
        <w:tab/>
      </w:r>
      <w:r w:rsidR="00281525">
        <w:t>C</w:t>
      </w:r>
      <w:r w:rsidR="00F81163">
        <w:tab/>
      </w:r>
      <w:r w:rsidR="00767399">
        <w:t>Coming into the World (Mode and Response)</w:t>
      </w:r>
    </w:p>
    <w:p w14:paraId="7E3EEC6A" w14:textId="77777777" w:rsidR="00F81163" w:rsidRDefault="00767399" w:rsidP="00E950D3">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969"/>
        </w:tabs>
        <w:spacing w:after="0" w:line="360" w:lineRule="auto"/>
        <w:ind w:left="1985"/>
        <w:jc w:val="both"/>
      </w:pPr>
      <w:r w:rsidRPr="007F17DE">
        <w:rPr>
          <w:i/>
        </w:rPr>
        <w:t>There was the true Light which, coming into the world, enlightens every man. He was in the world, and the world was made through Him, and the world did not know Him. He came to His own, and those who were His own did not receive Him</w:t>
      </w:r>
      <w:r>
        <w:t xml:space="preserve"> (John 1:9-11).</w:t>
      </w:r>
    </w:p>
    <w:p w14:paraId="4F0089E1" w14:textId="77777777" w:rsidR="00767399" w:rsidRDefault="00DB64A3" w:rsidP="00E950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1418"/>
        <w:jc w:val="both"/>
      </w:pPr>
      <w:r>
        <w:lastRenderedPageBreak/>
        <w:tab/>
      </w:r>
      <w:r>
        <w:tab/>
      </w:r>
      <w:r>
        <w:tab/>
      </w:r>
      <w:r w:rsidR="00F81163">
        <w:t>D</w:t>
      </w:r>
      <w:r w:rsidR="00F81163">
        <w:tab/>
      </w:r>
      <w:r w:rsidR="00767399">
        <w:t>Result of Belief in His Name (Response and Result)</w:t>
      </w:r>
    </w:p>
    <w:p w14:paraId="62B661D1" w14:textId="77777777" w:rsidR="00767399" w:rsidRPr="007F17DE" w:rsidRDefault="00767399" w:rsidP="00E950D3">
      <w:pPr>
        <w:tabs>
          <w:tab w:val="left" w:pos="284"/>
          <w:tab w:val="left" w:pos="567"/>
          <w:tab w:val="left" w:pos="851"/>
          <w:tab w:val="left" w:pos="1134"/>
          <w:tab w:val="left" w:pos="1276"/>
          <w:tab w:val="left" w:pos="1418"/>
          <w:tab w:val="left" w:pos="1985"/>
          <w:tab w:val="left" w:pos="2552"/>
          <w:tab w:val="left" w:pos="2835"/>
          <w:tab w:val="left" w:pos="3119"/>
          <w:tab w:val="left" w:pos="3402"/>
          <w:tab w:val="left" w:pos="3969"/>
        </w:tabs>
        <w:spacing w:after="0" w:line="360" w:lineRule="auto"/>
        <w:ind w:left="2552"/>
        <w:jc w:val="both"/>
        <w:rPr>
          <w:i/>
        </w:rPr>
      </w:pPr>
      <w:r>
        <w:t xml:space="preserve">1 </w:t>
      </w:r>
      <w:r>
        <w:tab/>
      </w:r>
      <w:r w:rsidRPr="007F17DE">
        <w:rPr>
          <w:i/>
        </w:rPr>
        <w:t xml:space="preserve">But as many as received Him, </w:t>
      </w:r>
    </w:p>
    <w:p w14:paraId="09D36A0B" w14:textId="77777777" w:rsidR="00767399" w:rsidRPr="007F17DE" w:rsidRDefault="00F81163" w:rsidP="00E950D3">
      <w:pPr>
        <w:tabs>
          <w:tab w:val="left" w:pos="284"/>
          <w:tab w:val="left" w:pos="567"/>
          <w:tab w:val="left" w:pos="851"/>
          <w:tab w:val="left" w:pos="1134"/>
          <w:tab w:val="left" w:pos="1418"/>
          <w:tab w:val="left" w:pos="1985"/>
          <w:tab w:val="left" w:pos="2552"/>
          <w:tab w:val="left" w:pos="2835"/>
          <w:tab w:val="left" w:pos="3119"/>
          <w:tab w:val="left" w:pos="3402"/>
          <w:tab w:val="left" w:pos="3969"/>
        </w:tabs>
        <w:spacing w:after="0" w:line="360" w:lineRule="auto"/>
        <w:ind w:left="2552"/>
        <w:jc w:val="both"/>
        <w:rPr>
          <w:i/>
        </w:rPr>
      </w:pPr>
      <w:r w:rsidRPr="007F17DE">
        <w:rPr>
          <w:i/>
        </w:rPr>
        <w:tab/>
      </w:r>
      <w:r w:rsidRPr="007F17DE">
        <w:t>2</w:t>
      </w:r>
      <w:r w:rsidRPr="007F17DE">
        <w:rPr>
          <w:i/>
        </w:rPr>
        <w:t xml:space="preserve"> </w:t>
      </w:r>
      <w:r w:rsidR="00767399" w:rsidRPr="007F17DE">
        <w:rPr>
          <w:i/>
        </w:rPr>
        <w:t xml:space="preserve">to them He gave the right to become children of God, </w:t>
      </w:r>
    </w:p>
    <w:p w14:paraId="0E97D6AE" w14:textId="77777777" w:rsidR="00767399" w:rsidRPr="007F17DE" w:rsidRDefault="00767399" w:rsidP="00E950D3">
      <w:pPr>
        <w:tabs>
          <w:tab w:val="left" w:pos="284"/>
          <w:tab w:val="left" w:pos="567"/>
          <w:tab w:val="left" w:pos="851"/>
          <w:tab w:val="left" w:pos="1134"/>
          <w:tab w:val="left" w:pos="1276"/>
          <w:tab w:val="left" w:pos="1418"/>
          <w:tab w:val="left" w:pos="1985"/>
          <w:tab w:val="left" w:pos="2552"/>
          <w:tab w:val="left" w:pos="2835"/>
          <w:tab w:val="left" w:pos="3119"/>
          <w:tab w:val="left" w:pos="3402"/>
          <w:tab w:val="left" w:pos="3969"/>
        </w:tabs>
        <w:spacing w:after="0" w:line="360" w:lineRule="auto"/>
        <w:ind w:left="2552"/>
        <w:jc w:val="both"/>
        <w:rPr>
          <w:i/>
        </w:rPr>
      </w:pPr>
      <w:r w:rsidRPr="007F17DE">
        <w:t xml:space="preserve">1’ </w:t>
      </w:r>
      <w:r w:rsidRPr="007F17DE">
        <w:rPr>
          <w:i/>
        </w:rPr>
        <w:tab/>
      </w:r>
      <w:r w:rsidRPr="007F17DE">
        <w:rPr>
          <w:i/>
          <w:iCs/>
        </w:rPr>
        <w:t>even</w:t>
      </w:r>
      <w:r w:rsidRPr="007F17DE">
        <w:rPr>
          <w:i/>
        </w:rPr>
        <w:t xml:space="preserve"> to those who believe in His name, </w:t>
      </w:r>
    </w:p>
    <w:p w14:paraId="72138AE7" w14:textId="77777777" w:rsidR="00767399" w:rsidRDefault="00F81163" w:rsidP="00E950D3">
      <w:pPr>
        <w:tabs>
          <w:tab w:val="left" w:pos="284"/>
          <w:tab w:val="left" w:pos="567"/>
          <w:tab w:val="left" w:pos="851"/>
          <w:tab w:val="left" w:pos="1134"/>
          <w:tab w:val="left" w:pos="1276"/>
          <w:tab w:val="left" w:pos="1418"/>
          <w:tab w:val="left" w:pos="1985"/>
          <w:tab w:val="left" w:pos="2694"/>
          <w:tab w:val="left" w:pos="2835"/>
          <w:tab w:val="left" w:pos="3119"/>
          <w:tab w:val="left" w:pos="3402"/>
          <w:tab w:val="left" w:pos="3969"/>
        </w:tabs>
        <w:spacing w:after="0" w:line="360" w:lineRule="auto"/>
        <w:ind w:left="2835"/>
        <w:jc w:val="both"/>
      </w:pPr>
      <w:r w:rsidRPr="007F17DE">
        <w:t>2’</w:t>
      </w:r>
      <w:r w:rsidRPr="007F17DE">
        <w:rPr>
          <w:i/>
        </w:rPr>
        <w:t xml:space="preserve"> </w:t>
      </w:r>
      <w:r w:rsidR="00767399" w:rsidRPr="007F17DE">
        <w:rPr>
          <w:i/>
        </w:rPr>
        <w:t>who were born, not of blood nor of the will of the flesh nor of the will of man, but of God.</w:t>
      </w:r>
      <w:r w:rsidR="00767399">
        <w:t xml:space="preserve"> (John 1:12-13).</w:t>
      </w:r>
      <w:r w:rsidR="001956EF">
        <w:rPr>
          <w:rStyle w:val="FootnoteReference"/>
        </w:rPr>
        <w:footnoteReference w:id="14"/>
      </w:r>
    </w:p>
    <w:p w14:paraId="72C4BADF" w14:textId="77777777" w:rsidR="00F81163" w:rsidRDefault="00F81163" w:rsidP="00E950D3">
      <w:pPr>
        <w:tabs>
          <w:tab w:val="left" w:pos="284"/>
          <w:tab w:val="left" w:pos="567"/>
          <w:tab w:val="left" w:pos="851"/>
          <w:tab w:val="left" w:pos="1418"/>
          <w:tab w:val="left" w:pos="1985"/>
          <w:tab w:val="left" w:pos="2268"/>
          <w:tab w:val="left" w:pos="2552"/>
          <w:tab w:val="left" w:pos="2835"/>
          <w:tab w:val="left" w:pos="3119"/>
          <w:tab w:val="left" w:pos="3402"/>
          <w:tab w:val="left" w:pos="3969"/>
        </w:tabs>
        <w:spacing w:after="0" w:line="360" w:lineRule="auto"/>
        <w:ind w:left="1701"/>
        <w:jc w:val="both"/>
      </w:pPr>
      <w:r>
        <w:t>C’</w:t>
      </w:r>
      <w:r>
        <w:tab/>
      </w:r>
      <w:r w:rsidR="00767399">
        <w:t>Co</w:t>
      </w:r>
      <w:r>
        <w:t>ming into the World</w:t>
      </w:r>
      <w:r w:rsidR="00767399">
        <w:t xml:space="preserve"> (Mode and Response)</w:t>
      </w:r>
    </w:p>
    <w:p w14:paraId="00420011" w14:textId="77777777" w:rsidR="00767399" w:rsidRDefault="00767399" w:rsidP="00E950D3">
      <w:pPr>
        <w:tabs>
          <w:tab w:val="left" w:pos="284"/>
          <w:tab w:val="left" w:pos="567"/>
          <w:tab w:val="left" w:pos="851"/>
          <w:tab w:val="left" w:pos="1134"/>
          <w:tab w:val="left" w:pos="1985"/>
          <w:tab w:val="left" w:pos="2268"/>
          <w:tab w:val="left" w:pos="2552"/>
          <w:tab w:val="left" w:pos="2835"/>
          <w:tab w:val="left" w:pos="3119"/>
          <w:tab w:val="left" w:pos="3402"/>
          <w:tab w:val="left" w:pos="3969"/>
        </w:tabs>
        <w:spacing w:after="0" w:line="360" w:lineRule="auto"/>
        <w:ind w:left="1985"/>
        <w:jc w:val="both"/>
      </w:pPr>
      <w:r w:rsidRPr="007F17DE">
        <w:rPr>
          <w:i/>
        </w:rPr>
        <w:t>And the Word became flesh, and dwelt among us, and we saw His glory, glory as of the only begotten from the Father, full of grace and truth</w:t>
      </w:r>
      <w:r>
        <w:t xml:space="preserve"> (John 1:14).</w:t>
      </w:r>
    </w:p>
    <w:p w14:paraId="7F0933CF" w14:textId="77777777" w:rsidR="00767399" w:rsidRDefault="00767399" w:rsidP="00E950D3">
      <w:pPr>
        <w:tabs>
          <w:tab w:val="left" w:pos="284"/>
          <w:tab w:val="left" w:pos="567"/>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1134"/>
        <w:jc w:val="both"/>
      </w:pPr>
      <w:r>
        <w:t>B’</w:t>
      </w:r>
      <w:r>
        <w:tab/>
        <w:t>Witness of John the Baptist</w:t>
      </w:r>
      <w:r w:rsidR="00B57DF0">
        <w:t xml:space="preserve"> (Witness)</w:t>
      </w:r>
    </w:p>
    <w:p w14:paraId="1F158FC7" w14:textId="77777777" w:rsidR="00767399" w:rsidRDefault="00767399" w:rsidP="00E950D3">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969"/>
        </w:tabs>
        <w:spacing w:after="0" w:line="360" w:lineRule="auto"/>
        <w:ind w:left="1418"/>
        <w:jc w:val="both"/>
      </w:pPr>
      <w:r w:rsidRPr="007F17DE">
        <w:rPr>
          <w:i/>
        </w:rPr>
        <w:t>John testified about Him and cried out, saying, “This was He of whom I said, ‘He who comes after me has a higher rank than I, for He existed before me</w:t>
      </w:r>
      <w:proofErr w:type="gramStart"/>
      <w:r w:rsidRPr="007F17DE">
        <w:rPr>
          <w:i/>
        </w:rPr>
        <w:t>’ ”</w:t>
      </w:r>
      <w:proofErr w:type="gramEnd"/>
      <w:r>
        <w:t xml:space="preserve"> (John 1:15). </w:t>
      </w:r>
    </w:p>
    <w:p w14:paraId="193985A9" w14:textId="77777777" w:rsidR="00F81163" w:rsidRDefault="00C90648" w:rsidP="00E950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567"/>
        <w:jc w:val="both"/>
      </w:pPr>
      <w:r>
        <w:t>A’</w:t>
      </w:r>
      <w:r>
        <w:tab/>
      </w:r>
      <w:r w:rsidR="00767399">
        <w:t>With God and Making God known (Nature and Role)</w:t>
      </w:r>
    </w:p>
    <w:p w14:paraId="4EC958FE" w14:textId="77777777" w:rsidR="00767399" w:rsidRDefault="00767399" w:rsidP="00E950D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851"/>
        <w:jc w:val="both"/>
      </w:pPr>
      <w:r w:rsidRPr="007F17DE">
        <w:rPr>
          <w:i/>
        </w:rPr>
        <w:t xml:space="preserve">For of His fullness we have all received, and grace upon grace. For the Law was given through Moses; grace and truth were realized through Jesus Christ. No one has seen God at any time; the only begotten God who is in the bosom of the Father, He has explained </w:t>
      </w:r>
      <w:r w:rsidRPr="007F17DE">
        <w:rPr>
          <w:i/>
          <w:iCs/>
        </w:rPr>
        <w:t xml:space="preserve">Him </w:t>
      </w:r>
      <w:r>
        <w:rPr>
          <w:iCs/>
        </w:rPr>
        <w:t>(John 1:16-18).</w:t>
      </w:r>
    </w:p>
    <w:p w14:paraId="1D67F5BF" w14:textId="3821C16E" w:rsidR="00767399" w:rsidRDefault="00767399" w:rsidP="00E950D3">
      <w:pPr>
        <w:spacing w:after="0" w:line="360" w:lineRule="auto"/>
        <w:ind w:firstLine="720"/>
        <w:jc w:val="both"/>
      </w:pPr>
      <w:r>
        <w:t>Recognition of John’s structure affirms five concerns related to John’s persuasive agenda</w:t>
      </w:r>
      <w:r w:rsidR="00D32D02">
        <w:t xml:space="preserve">. </w:t>
      </w:r>
      <w:r w:rsidR="00CE7BA0">
        <w:t>Each of these concerns is</w:t>
      </w:r>
      <w:r>
        <w:t xml:space="preserve"> developed in the first half of the chiasm with the aid of the Genesis allusion and light metaphor</w:t>
      </w:r>
      <w:r w:rsidR="00CE7BA0">
        <w:t xml:space="preserve"> and then</w:t>
      </w:r>
      <w:r>
        <w:t xml:space="preserve"> emphasized through repetition in the</w:t>
      </w:r>
      <w:r w:rsidR="00CE7BA0">
        <w:t xml:space="preserve"> second half of the</w:t>
      </w:r>
      <w:r>
        <w:t xml:space="preserve"> chiastic s</w:t>
      </w:r>
      <w:r w:rsidR="007F17DE">
        <w:t>tructure</w:t>
      </w:r>
      <w:r w:rsidR="00D32D02">
        <w:t xml:space="preserve">. </w:t>
      </w:r>
      <w:r w:rsidR="007F17DE">
        <w:t>The</w:t>
      </w:r>
      <w:r>
        <w:t xml:space="preserve"> concerns may be categorized as (1) the nature of Jesus Christ, (2) the revelatory role of Jesus Christ, (3) the mode by which this role is accomplished, (4) the response of people to Jesus Christ, and (5) the result of responding positively to Jesus Christ</w:t>
      </w:r>
      <w:r w:rsidR="00281525">
        <w:t>.</w:t>
      </w:r>
    </w:p>
    <w:p w14:paraId="384B6253" w14:textId="020672CE" w:rsidR="00767399" w:rsidRDefault="00D36395" w:rsidP="00E950D3">
      <w:pPr>
        <w:spacing w:after="0" w:line="360" w:lineRule="auto"/>
        <w:ind w:firstLine="720"/>
        <w:jc w:val="both"/>
      </w:pPr>
      <w:proofErr w:type="gramStart"/>
      <w:r>
        <w:t>Two word</w:t>
      </w:r>
      <w:proofErr w:type="gramEnd"/>
      <w:r>
        <w:t xml:space="preserve"> links and two conceptual links connect A with A’.</w:t>
      </w:r>
      <w:r>
        <w:rPr>
          <w:rStyle w:val="FootnoteReference"/>
        </w:rPr>
        <w:footnoteReference w:id="15"/>
      </w:r>
      <w:r>
        <w:t xml:space="preserve"> (1) The word for God occurs 3 times in A,</w:t>
      </w:r>
      <w:r w:rsidR="007F17DE">
        <w:t xml:space="preserve"> 2 times in D and 2 times in A’, suggesting an A – D – A’ link</w:t>
      </w:r>
      <w:r w:rsidR="00D32D02">
        <w:t xml:space="preserve">. </w:t>
      </w:r>
      <w:r>
        <w:t>The only other reference to God is in 1:6</w:t>
      </w:r>
      <w:r w:rsidR="00D32D02">
        <w:t xml:space="preserve">. </w:t>
      </w:r>
      <w:r>
        <w:t>(2) A and A’ both contain words referring to eternal time, “in the beginning” and “at any time.</w:t>
      </w:r>
      <w:r w:rsidR="00281525">
        <w:t xml:space="preserve">” </w:t>
      </w:r>
      <w:r>
        <w:t>More significantly, A and A’ are linked conceptually</w:t>
      </w:r>
      <w:r w:rsidR="00947072">
        <w:t>,</w:t>
      </w:r>
      <w:r>
        <w:t xml:space="preserve"> (3) addres</w:t>
      </w:r>
      <w:r w:rsidR="00947072">
        <w:t xml:space="preserve">sing the nature of Jesus, particularly the fact that he is </w:t>
      </w:r>
      <w:r w:rsidR="00947072">
        <w:lastRenderedPageBreak/>
        <w:t>with God, and (4) communicating the</w:t>
      </w:r>
      <w:r>
        <w:t xml:space="preserve"> role Jesus executes in revealing God.</w:t>
      </w:r>
      <w:r w:rsidR="00672684">
        <w:t xml:space="preserve"> </w:t>
      </w:r>
      <w:r w:rsidR="00947072">
        <w:t xml:space="preserve">Concerning the nature of the word in A, he is identified as God, </w:t>
      </w:r>
      <w:r w:rsidR="00B5710E">
        <w:t>has life in himself and</w:t>
      </w:r>
      <w:r w:rsidR="00767399">
        <w:t xml:space="preserve"> has seen God</w:t>
      </w:r>
      <w:r w:rsidR="00D32D02">
        <w:t xml:space="preserve">. </w:t>
      </w:r>
      <w:r w:rsidR="00947072">
        <w:t>In A’ he is said to have seen</w:t>
      </w:r>
      <w:r w:rsidR="00DB64A3">
        <w:t xml:space="preserve"> God, </w:t>
      </w:r>
      <w:r w:rsidR="00416D98">
        <w:t>is referred to as</w:t>
      </w:r>
      <w:r w:rsidR="00DB64A3">
        <w:t xml:space="preserve"> the only begotten S</w:t>
      </w:r>
      <w:r w:rsidR="007F17DE">
        <w:t>on and is in the bosom of the F</w:t>
      </w:r>
      <w:r w:rsidR="00947072">
        <w:t>ather.</w:t>
      </w:r>
      <w:r w:rsidR="00767399">
        <w:t xml:space="preserve"> </w:t>
      </w:r>
      <w:r w:rsidR="00947072">
        <w:t>The nature of Jesus Christ is connected in both A and A’ with his revelatory role</w:t>
      </w:r>
      <w:r w:rsidR="00D32D02">
        <w:t xml:space="preserve">. </w:t>
      </w:r>
      <w:r w:rsidR="00767399">
        <w:t xml:space="preserve">In A the metaphor of Jesus as light indicates this role, as </w:t>
      </w:r>
      <w:r w:rsidR="007F17DE">
        <w:t xml:space="preserve">implied through the struggle between light and darkness and </w:t>
      </w:r>
      <w:r w:rsidR="00767399">
        <w:t>later</w:t>
      </w:r>
      <w:r w:rsidR="007F17DE">
        <w:t xml:space="preserve"> affirmed</w:t>
      </w:r>
      <w:r w:rsidR="00767399">
        <w:t xml:space="preserve"> in verse 9</w:t>
      </w:r>
      <w:r w:rsidR="007F17DE">
        <w:t xml:space="preserve"> with the direct comment</w:t>
      </w:r>
      <w:r w:rsidR="00767399">
        <w:t xml:space="preserve">, </w:t>
      </w:r>
      <w:r w:rsidR="00281525">
        <w:t>“the light enlightens.”</w:t>
      </w:r>
      <w:r w:rsidR="00B5710E">
        <w:t xml:space="preserve"> In A’</w:t>
      </w:r>
      <w:r w:rsidR="00767399">
        <w:t xml:space="preserve"> </w:t>
      </w:r>
      <w:r w:rsidR="00947072">
        <w:t xml:space="preserve">the description of Jesus as </w:t>
      </w:r>
      <w:r w:rsidR="00DB64A3">
        <w:t>the S</w:t>
      </w:r>
      <w:r w:rsidR="00767399">
        <w:t>on wh</w:t>
      </w:r>
      <w:r w:rsidR="00B5710E">
        <w:t>o has seen God and</w:t>
      </w:r>
      <w:r w:rsidR="00DB64A3">
        <w:t xml:space="preserve"> is in the bosom of the F</w:t>
      </w:r>
      <w:r w:rsidR="00B5710E">
        <w:t>ather</w:t>
      </w:r>
      <w:r w:rsidR="00767399">
        <w:rPr>
          <w:rStyle w:val="FootnoteReference"/>
        </w:rPr>
        <w:footnoteReference w:id="16"/>
      </w:r>
      <w:r w:rsidR="00767399">
        <w:t xml:space="preserve"> </w:t>
      </w:r>
      <w:r w:rsidR="00947072">
        <w:t>indicates</w:t>
      </w:r>
      <w:r w:rsidR="00B5710E">
        <w:t xml:space="preserve"> intimate knowledge by which he </w:t>
      </w:r>
      <w:r w:rsidR="00767399">
        <w:t>“explain</w:t>
      </w:r>
      <w:r w:rsidR="00947072">
        <w:t>s</w:t>
      </w:r>
      <w:r w:rsidR="00767399">
        <w:t>”</w:t>
      </w:r>
      <w:r w:rsidR="00767399">
        <w:rPr>
          <w:rStyle w:val="FootnoteReference"/>
        </w:rPr>
        <w:footnoteReference w:id="17"/>
      </w:r>
      <w:r w:rsidR="00767399">
        <w:t xml:space="preserve"> the Father</w:t>
      </w:r>
      <w:r w:rsidR="00D32D02">
        <w:t xml:space="preserve">. </w:t>
      </w:r>
      <w:r w:rsidR="004759BD">
        <w:t>That Jesus reveals himself as benefactor to humankind is suggested in A through the declaration, “in him was life and that life was the light of men” (John 1:4) and in A’ through the comment, “For of his fullness we have all received” (John 1:16).</w:t>
      </w:r>
    </w:p>
    <w:p w14:paraId="3F07DDFF" w14:textId="10BFFC85" w:rsidR="00B57DF0" w:rsidRDefault="00B57DF0" w:rsidP="00E950D3">
      <w:pPr>
        <w:spacing w:after="0" w:line="360" w:lineRule="auto"/>
        <w:ind w:firstLine="720"/>
        <w:jc w:val="both"/>
      </w:pPr>
      <w:r>
        <w:t>Reference</w:t>
      </w:r>
      <w:r w:rsidR="00CE494C">
        <w:t>s</w:t>
      </w:r>
      <w:r>
        <w:t xml:space="preserve"> to (1) John </w:t>
      </w:r>
      <w:r w:rsidR="00CE7BA0">
        <w:t xml:space="preserve">the Baptist </w:t>
      </w:r>
      <w:r>
        <w:t>and to (2) witness link together B and B’</w:t>
      </w:r>
      <w:r w:rsidR="00D32D02">
        <w:t xml:space="preserve">. </w:t>
      </w:r>
      <w:r>
        <w:t>In John 5:34 Jesus will say that he does not need testimony from man</w:t>
      </w:r>
      <w:r w:rsidR="00D32D02">
        <w:t xml:space="preserve">. </w:t>
      </w:r>
      <w:r>
        <w:t xml:space="preserve">If Jesus is indeed God, then his testimony is valid </w:t>
      </w:r>
      <w:r w:rsidR="007F17DE">
        <w:t xml:space="preserve">apart from </w:t>
      </w:r>
      <w:r w:rsidR="00CE494C">
        <w:t>the Baptist</w:t>
      </w:r>
      <w:r w:rsidR="00D32D02">
        <w:t xml:space="preserve">. </w:t>
      </w:r>
      <w:r w:rsidR="007F17DE">
        <w:t>Still, John the Baptist</w:t>
      </w:r>
      <w:r>
        <w:t xml:space="preserve"> is recognized </w:t>
      </w:r>
      <w:r w:rsidR="007F17DE">
        <w:t xml:space="preserve">in the gospel </w:t>
      </w:r>
      <w:r>
        <w:t>as a light, and though his testimony is not necessary, his testimony is considered important</w:t>
      </w:r>
      <w:r w:rsidR="00D32D02">
        <w:t xml:space="preserve">. </w:t>
      </w:r>
      <w:r>
        <w:t xml:space="preserve">Just as the revelatory work of Jesus leads people to belief, the testimony of </w:t>
      </w:r>
      <w:r w:rsidR="00CE494C">
        <w:t xml:space="preserve">the Baptist </w:t>
      </w:r>
      <w:r>
        <w:t>serves the same purpose (</w:t>
      </w:r>
      <w:r w:rsidR="007F17DE">
        <w:t>John 1:7)</w:t>
      </w:r>
      <w:r w:rsidR="00D32D02">
        <w:t xml:space="preserve">. </w:t>
      </w:r>
      <w:r w:rsidR="00CE7BA0">
        <w:t>Reference to t</w:t>
      </w:r>
      <w:r>
        <w:t>he witness of John</w:t>
      </w:r>
      <w:r w:rsidR="007F17DE">
        <w:t xml:space="preserve"> the Baptist</w:t>
      </w:r>
      <w:r>
        <w:t xml:space="preserve"> </w:t>
      </w:r>
      <w:r w:rsidR="007F17DE">
        <w:t xml:space="preserve">may </w:t>
      </w:r>
      <w:r>
        <w:t>also</w:t>
      </w:r>
      <w:r w:rsidR="007F17DE">
        <w:t xml:space="preserve"> affirm</w:t>
      </w:r>
      <w:r>
        <w:t xml:space="preserve"> the role the writer of </w:t>
      </w:r>
      <w:r w:rsidR="006D57D0">
        <w:t>the gospel sees himself serving, as a witness to the one whose witness stands for itself</w:t>
      </w:r>
      <w:r w:rsidR="00D32D02">
        <w:t xml:space="preserve">. </w:t>
      </w:r>
      <w:r>
        <w:t xml:space="preserve">Reference to </w:t>
      </w:r>
      <w:r w:rsidR="00CE494C">
        <w:t xml:space="preserve">the Baptist </w:t>
      </w:r>
      <w:r>
        <w:t xml:space="preserve">in the prologue also seems to create movement from the eternal time of A and A’ to the temporal time of C and C’ </w:t>
      </w:r>
      <w:r w:rsidR="00CE7BA0">
        <w:t xml:space="preserve">where </w:t>
      </w:r>
      <w:r w:rsidR="00DB3AB9">
        <w:t>the author proclaims</w:t>
      </w:r>
      <w:r>
        <w:t xml:space="preserve"> Jesus </w:t>
      </w:r>
      <w:r w:rsidR="00DB3AB9">
        <w:t>as entering</w:t>
      </w:r>
      <w:r>
        <w:t xml:space="preserve"> a moment of history</w:t>
      </w:r>
      <w:r w:rsidR="00767399">
        <w:t>.</w:t>
      </w:r>
      <w:r w:rsidR="00767399">
        <w:rPr>
          <w:rStyle w:val="FootnoteReference"/>
        </w:rPr>
        <w:footnoteReference w:id="18"/>
      </w:r>
      <w:r w:rsidR="00767399">
        <w:t xml:space="preserve"> </w:t>
      </w:r>
    </w:p>
    <w:p w14:paraId="2BDC634B" w14:textId="33DD2BA1" w:rsidR="00767399" w:rsidRDefault="00EA4C87" w:rsidP="00E950D3">
      <w:pPr>
        <w:spacing w:after="0" w:line="360" w:lineRule="auto"/>
        <w:ind w:firstLine="720"/>
        <w:jc w:val="both"/>
      </w:pPr>
      <w:r>
        <w:t xml:space="preserve">The link between </w:t>
      </w:r>
      <w:r w:rsidR="00767399">
        <w:t xml:space="preserve">C and C’ </w:t>
      </w:r>
      <w:r>
        <w:t xml:space="preserve">holds together conceptually with </w:t>
      </w:r>
      <w:r w:rsidR="000F7C66">
        <w:t xml:space="preserve">(1) </w:t>
      </w:r>
      <w:r>
        <w:t>the coming of Jesus into the world as the light and as the word</w:t>
      </w:r>
      <w:r w:rsidR="00D32D02">
        <w:t xml:space="preserve">. </w:t>
      </w:r>
      <w:r w:rsidR="000F7C66">
        <w:t>John emphasizes that Jesus’ mode of revelation consis</w:t>
      </w:r>
      <w:r w:rsidR="00DB3AB9">
        <w:t xml:space="preserve">ts of becoming human which is </w:t>
      </w:r>
      <w:r w:rsidR="000F7C66">
        <w:t>strikingly different from God’s mode of revelation to Moses through the spoken word</w:t>
      </w:r>
      <w:r w:rsidR="00D32D02">
        <w:t xml:space="preserve">. </w:t>
      </w:r>
      <w:r w:rsidR="00767399">
        <w:t xml:space="preserve">C and C’ also </w:t>
      </w:r>
      <w:r w:rsidR="000F7C66">
        <w:t xml:space="preserve">(2) </w:t>
      </w:r>
      <w:r w:rsidR="00767399">
        <w:t>indicate response to Jesus</w:t>
      </w:r>
      <w:r w:rsidR="00D32D02">
        <w:t xml:space="preserve">. </w:t>
      </w:r>
      <w:r w:rsidR="00767399">
        <w:t>In C human beings respond throu</w:t>
      </w:r>
      <w:r w:rsidR="000F7C66">
        <w:t>gh rejection</w:t>
      </w:r>
      <w:r w:rsidR="00D32D02">
        <w:t xml:space="preserve">. </w:t>
      </w:r>
      <w:r w:rsidR="000F7C66">
        <w:t>In</w:t>
      </w:r>
      <w:r w:rsidR="00DB3AB9">
        <w:t xml:space="preserve"> C’ the author communicates </w:t>
      </w:r>
      <w:r w:rsidR="0023141F">
        <w:lastRenderedPageBreak/>
        <w:t xml:space="preserve">personal </w:t>
      </w:r>
      <w:r w:rsidR="00DB3AB9">
        <w:t xml:space="preserve">positive response by </w:t>
      </w:r>
      <w:r w:rsidR="000F7C66">
        <w:t>declaring, “we beheld his glory…full of grace and truth” (John 1:14).</w:t>
      </w:r>
    </w:p>
    <w:p w14:paraId="7EFD558B" w14:textId="7786FFF5" w:rsidR="00FA4EA5" w:rsidRDefault="00C45802" w:rsidP="00E950D3">
      <w:pPr>
        <w:spacing w:after="0" w:line="360" w:lineRule="auto"/>
        <w:ind w:firstLine="720"/>
        <w:jc w:val="both"/>
      </w:pPr>
      <w:r>
        <w:t>T</w:t>
      </w:r>
      <w:r w:rsidR="00767399">
        <w:t>he central point of the ch</w:t>
      </w:r>
      <w:r w:rsidR="000F7C66">
        <w:t>iasm</w:t>
      </w:r>
      <w:r>
        <w:t xml:space="preserve"> D</w:t>
      </w:r>
      <w:r w:rsidR="000F7C66">
        <w:t>, announces the result of</w:t>
      </w:r>
      <w:r w:rsidR="00767399">
        <w:t xml:space="preserve"> receiving Jesus</w:t>
      </w:r>
      <w:r w:rsidR="00D32D02">
        <w:t xml:space="preserve">. </w:t>
      </w:r>
      <w:r w:rsidR="00767399">
        <w:t>The idea of knowing Jesus occurs in John 1:10, while receiving and believing are paralleled here in the central section</w:t>
      </w:r>
      <w:r w:rsidR="00EF19A5">
        <w:t xml:space="preserve"> in the lines marked 1 and 1’</w:t>
      </w:r>
      <w:r w:rsidR="00D32D02">
        <w:t xml:space="preserve">. </w:t>
      </w:r>
      <w:r>
        <w:t>Through</w:t>
      </w:r>
      <w:r w:rsidR="00767399">
        <w:t xml:space="preserve"> the gospel John will develop </w:t>
      </w:r>
      <w:r w:rsidR="00E2118F">
        <w:t xml:space="preserve">the tension of whether a person </w:t>
      </w:r>
      <w:r w:rsidR="00767399">
        <w:t>truly knows, receives or believes in Jesus</w:t>
      </w:r>
      <w:r w:rsidR="00E2118F">
        <w:t xml:space="preserve"> or whether the professed attachment to Jesus is only superficial</w:t>
      </w:r>
      <w:r w:rsidR="00767399">
        <w:t>.</w:t>
      </w:r>
      <w:r>
        <w:rPr>
          <w:rStyle w:val="FootnoteReference"/>
        </w:rPr>
        <w:footnoteReference w:id="19"/>
      </w:r>
      <w:r w:rsidR="00281525">
        <w:t xml:space="preserve"> </w:t>
      </w:r>
      <w:r>
        <w:t>The author does not address here in the prologue t</w:t>
      </w:r>
      <w:r w:rsidR="00E2118F">
        <w:t>he tension of superficial versus true</w:t>
      </w:r>
      <w:r>
        <w:t xml:space="preserve"> belief</w:t>
      </w:r>
      <w:r w:rsidR="00D32D02">
        <w:t xml:space="preserve">. </w:t>
      </w:r>
      <w:r w:rsidR="00767399">
        <w:t>John simply declares the result of the one who believes through the parallel ideas</w:t>
      </w:r>
      <w:r w:rsidR="00EF19A5">
        <w:t xml:space="preserve"> in 2 and 2’</w:t>
      </w:r>
      <w:r w:rsidR="00767399">
        <w:t xml:space="preserve"> of having the right to become children of God and</w:t>
      </w:r>
      <w:r w:rsidR="00EF19A5">
        <w:t xml:space="preserve"> being born of God</w:t>
      </w:r>
      <w:r w:rsidR="00D32D02">
        <w:t xml:space="preserve">. </w:t>
      </w:r>
      <w:r w:rsidR="00EF19A5">
        <w:t xml:space="preserve">This new </w:t>
      </w:r>
      <w:r w:rsidR="00FA4EA5">
        <w:t>life through belief is the goal stated in John 20:31</w:t>
      </w:r>
      <w:r w:rsidR="00EF19A5">
        <w:t xml:space="preserve"> </w:t>
      </w:r>
      <w:r w:rsidR="00767399">
        <w:t xml:space="preserve">toward which the author intends to persuade </w:t>
      </w:r>
      <w:r w:rsidR="0023141F">
        <w:t xml:space="preserve">his </w:t>
      </w:r>
      <w:r w:rsidR="00767399">
        <w:t>reader</w:t>
      </w:r>
      <w:r w:rsidR="0023141F">
        <w:t>s</w:t>
      </w:r>
      <w:r w:rsidR="00767399">
        <w:t>.</w:t>
      </w:r>
      <w:r w:rsidR="00FF508B">
        <w:tab/>
      </w:r>
      <w:r w:rsidR="00F53792">
        <w:tab/>
      </w:r>
      <w:r w:rsidR="00F53792">
        <w:tab/>
      </w:r>
    </w:p>
    <w:p w14:paraId="57C7A6A3" w14:textId="1E148982" w:rsidR="000F7C66" w:rsidRDefault="00E2118F" w:rsidP="00E950D3">
      <w:pPr>
        <w:spacing w:after="0" w:line="360" w:lineRule="auto"/>
        <w:ind w:firstLine="720"/>
        <w:jc w:val="both"/>
      </w:pPr>
      <w:r>
        <w:rPr>
          <w:noProof/>
        </w:rPr>
        <mc:AlternateContent>
          <mc:Choice Requires="wpg">
            <w:drawing>
              <wp:anchor distT="0" distB="0" distL="114300" distR="114300" simplePos="0" relativeHeight="251656192" behindDoc="0" locked="0" layoutInCell="1" allowOverlap="1" wp14:anchorId="74E20F0A" wp14:editId="196DBA08">
                <wp:simplePos x="0" y="0"/>
                <wp:positionH relativeFrom="page">
                  <wp:posOffset>2759339</wp:posOffset>
                </wp:positionH>
                <wp:positionV relativeFrom="paragraph">
                  <wp:posOffset>60325</wp:posOffset>
                </wp:positionV>
                <wp:extent cx="1828800" cy="1014730"/>
                <wp:effectExtent l="0" t="0" r="0" b="0"/>
                <wp:wrapNone/>
                <wp:docPr id="19" name="Group 19"/>
                <wp:cNvGraphicFramePr/>
                <a:graphic xmlns:a="http://schemas.openxmlformats.org/drawingml/2006/main">
                  <a:graphicData uri="http://schemas.microsoft.com/office/word/2010/wordprocessingGroup">
                    <wpg:wgp>
                      <wpg:cNvGrpSpPr/>
                      <wpg:grpSpPr>
                        <a:xfrm>
                          <a:off x="0" y="0"/>
                          <a:ext cx="1828800" cy="1014730"/>
                          <a:chOff x="0" y="0"/>
                          <a:chExt cx="1828684" cy="1017080"/>
                        </a:xfrm>
                      </wpg:grpSpPr>
                      <wps:wsp>
                        <wps:cNvPr id="1" name="Straight Connector 1"/>
                        <wps:cNvCnPr/>
                        <wps:spPr>
                          <a:xfrm>
                            <a:off x="232968" y="87363"/>
                            <a:ext cx="547370" cy="748665"/>
                          </a:xfrm>
                          <a:prstGeom prst="line">
                            <a:avLst/>
                          </a:prstGeom>
                          <a:ln w="1270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972642" y="69891"/>
                            <a:ext cx="547370" cy="748665"/>
                          </a:xfrm>
                          <a:prstGeom prst="line">
                            <a:avLst/>
                          </a:prstGeom>
                          <a:ln w="1270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0" y="0"/>
                            <a:ext cx="257175" cy="248285"/>
                          </a:xfrm>
                          <a:prstGeom prst="rect">
                            <a:avLst/>
                          </a:prstGeom>
                          <a:noFill/>
                          <a:ln w="9525">
                            <a:noFill/>
                            <a:miter lim="800000"/>
                            <a:headEnd/>
                            <a:tailEnd/>
                          </a:ln>
                        </wps:spPr>
                        <wps:txbx>
                          <w:txbxContent>
                            <w:p w14:paraId="48DE9D61" w14:textId="77777777" w:rsidR="00E2118F" w:rsidRDefault="00E2118F" w:rsidP="00E2118F">
                              <w:r>
                                <w:t>A</w:t>
                              </w:r>
                            </w:p>
                          </w:txbxContent>
                        </wps:txbx>
                        <wps:bodyPr rot="0" vert="horz" wrap="square" lIns="91440" tIns="45720" rIns="91440" bIns="45720" anchor="t" anchorCtr="0">
                          <a:noAutofit/>
                        </wps:bodyPr>
                      </wps:wsp>
                      <wps:wsp>
                        <wps:cNvPr id="11" name="Straight Arrow Connector 11"/>
                        <wps:cNvCnPr/>
                        <wps:spPr>
                          <a:xfrm>
                            <a:off x="331980" y="145605"/>
                            <a:ext cx="1051560" cy="0"/>
                          </a:xfrm>
                          <a:prstGeom prst="straightConnector1">
                            <a:avLst/>
                          </a:prstGeom>
                          <a:ln w="9525">
                            <a:solidFill>
                              <a:schemeClr val="tx1"/>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12" name="Text Box 2"/>
                        <wps:cNvSpPr txBox="1">
                          <a:spLocks noChangeArrowheads="1"/>
                        </wps:cNvSpPr>
                        <wps:spPr bwMode="auto">
                          <a:xfrm>
                            <a:off x="186374" y="244617"/>
                            <a:ext cx="257175" cy="248285"/>
                          </a:xfrm>
                          <a:prstGeom prst="rect">
                            <a:avLst/>
                          </a:prstGeom>
                          <a:noFill/>
                          <a:ln w="9525">
                            <a:noFill/>
                            <a:miter lim="800000"/>
                            <a:headEnd/>
                            <a:tailEnd/>
                          </a:ln>
                        </wps:spPr>
                        <wps:txbx>
                          <w:txbxContent>
                            <w:p w14:paraId="1F485F6B" w14:textId="77777777" w:rsidR="00E2118F" w:rsidRDefault="00E2118F" w:rsidP="00E2118F">
                              <w:r>
                                <w:t>B</w:t>
                              </w:r>
                            </w:p>
                          </w:txbxContent>
                        </wps:txbx>
                        <wps:bodyPr rot="0" vert="horz" wrap="square" lIns="91440" tIns="45720" rIns="91440" bIns="45720" anchor="t" anchorCtr="0">
                          <a:noAutofit/>
                        </wps:bodyPr>
                      </wps:wsp>
                      <wps:wsp>
                        <wps:cNvPr id="10" name="Straight Arrow Connector 10"/>
                        <wps:cNvCnPr/>
                        <wps:spPr>
                          <a:xfrm>
                            <a:off x="524178" y="396046"/>
                            <a:ext cx="687070" cy="0"/>
                          </a:xfrm>
                          <a:prstGeom prst="straightConnector1">
                            <a:avLst/>
                          </a:prstGeom>
                          <a:ln w="9525">
                            <a:solidFill>
                              <a:schemeClr val="tx1"/>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13" name="Text Box 2"/>
                        <wps:cNvSpPr txBox="1">
                          <a:spLocks noChangeArrowheads="1"/>
                        </wps:cNvSpPr>
                        <wps:spPr bwMode="auto">
                          <a:xfrm>
                            <a:off x="361101" y="512529"/>
                            <a:ext cx="257175" cy="265645"/>
                          </a:xfrm>
                          <a:prstGeom prst="rect">
                            <a:avLst/>
                          </a:prstGeom>
                          <a:noFill/>
                          <a:ln w="9525">
                            <a:noFill/>
                            <a:miter lim="800000"/>
                            <a:headEnd/>
                            <a:tailEnd/>
                          </a:ln>
                        </wps:spPr>
                        <wps:txbx>
                          <w:txbxContent>
                            <w:p w14:paraId="368142CB" w14:textId="77777777" w:rsidR="00E2118F" w:rsidRDefault="00E2118F" w:rsidP="00E2118F">
                              <w:r>
                                <w:t>C</w:t>
                              </w:r>
                            </w:p>
                          </w:txbxContent>
                        </wps:txbx>
                        <wps:bodyPr rot="0" vert="horz" wrap="square" lIns="91440" tIns="45720" rIns="91440" bIns="45720" anchor="t" anchorCtr="0">
                          <a:noAutofit/>
                        </wps:bodyPr>
                      </wps:wsp>
                      <wps:wsp>
                        <wps:cNvPr id="14" name="Text Box 2"/>
                        <wps:cNvSpPr txBox="1">
                          <a:spLocks noChangeArrowheads="1"/>
                        </wps:cNvSpPr>
                        <wps:spPr bwMode="auto">
                          <a:xfrm>
                            <a:off x="1083302" y="512530"/>
                            <a:ext cx="352425" cy="248285"/>
                          </a:xfrm>
                          <a:prstGeom prst="rect">
                            <a:avLst/>
                          </a:prstGeom>
                          <a:noFill/>
                          <a:ln w="9525">
                            <a:noFill/>
                            <a:miter lim="800000"/>
                            <a:headEnd/>
                            <a:tailEnd/>
                          </a:ln>
                        </wps:spPr>
                        <wps:txbx>
                          <w:txbxContent>
                            <w:p w14:paraId="17EC450F" w14:textId="77777777" w:rsidR="00E2118F" w:rsidRDefault="00E2118F" w:rsidP="00E2118F">
                              <w:r>
                                <w:t>C’</w:t>
                              </w:r>
                            </w:p>
                          </w:txbxContent>
                        </wps:txbx>
                        <wps:bodyPr rot="0" vert="horz" wrap="square" lIns="91440" tIns="45720" rIns="91440" bIns="45720" anchor="t" anchorCtr="0">
                          <a:noAutofit/>
                        </wps:bodyPr>
                      </wps:wsp>
                      <wps:wsp>
                        <wps:cNvPr id="15" name="Text Box 2"/>
                        <wps:cNvSpPr txBox="1">
                          <a:spLocks noChangeArrowheads="1"/>
                        </wps:cNvSpPr>
                        <wps:spPr bwMode="auto">
                          <a:xfrm>
                            <a:off x="733850" y="768795"/>
                            <a:ext cx="257175" cy="248285"/>
                          </a:xfrm>
                          <a:prstGeom prst="rect">
                            <a:avLst/>
                          </a:prstGeom>
                          <a:noFill/>
                          <a:ln w="9525">
                            <a:noFill/>
                            <a:miter lim="800000"/>
                            <a:headEnd/>
                            <a:tailEnd/>
                          </a:ln>
                        </wps:spPr>
                        <wps:txbx>
                          <w:txbxContent>
                            <w:p w14:paraId="5E2205B9" w14:textId="77777777" w:rsidR="00E2118F" w:rsidRDefault="00E2118F" w:rsidP="00E2118F">
                              <w:r>
                                <w:t>D</w:t>
                              </w:r>
                            </w:p>
                          </w:txbxContent>
                        </wps:txbx>
                        <wps:bodyPr rot="0" vert="horz" wrap="square" lIns="91440" tIns="45720" rIns="91440" bIns="45720" anchor="t" anchorCtr="0">
                          <a:noAutofit/>
                        </wps:bodyPr>
                      </wps:wsp>
                      <wps:wsp>
                        <wps:cNvPr id="16" name="Text Box 2"/>
                        <wps:cNvSpPr txBox="1">
                          <a:spLocks noChangeArrowheads="1"/>
                        </wps:cNvSpPr>
                        <wps:spPr bwMode="auto">
                          <a:xfrm>
                            <a:off x="1263852" y="250441"/>
                            <a:ext cx="361950" cy="248285"/>
                          </a:xfrm>
                          <a:prstGeom prst="rect">
                            <a:avLst/>
                          </a:prstGeom>
                          <a:noFill/>
                          <a:ln w="9525">
                            <a:noFill/>
                            <a:miter lim="800000"/>
                            <a:headEnd/>
                            <a:tailEnd/>
                          </a:ln>
                        </wps:spPr>
                        <wps:txbx>
                          <w:txbxContent>
                            <w:p w14:paraId="5A4269AA" w14:textId="77777777" w:rsidR="00E2118F" w:rsidRDefault="00E2118F" w:rsidP="00E2118F">
                              <w:r>
                                <w:t>B’</w:t>
                              </w:r>
                            </w:p>
                          </w:txbxContent>
                        </wps:txbx>
                        <wps:bodyPr rot="0" vert="horz" wrap="square" lIns="91440" tIns="45720" rIns="91440" bIns="45720" anchor="t" anchorCtr="0">
                          <a:noAutofit/>
                        </wps:bodyPr>
                      </wps:wsp>
                      <wps:wsp>
                        <wps:cNvPr id="17" name="Text Box 2"/>
                        <wps:cNvSpPr txBox="1">
                          <a:spLocks noChangeArrowheads="1"/>
                        </wps:cNvSpPr>
                        <wps:spPr bwMode="auto">
                          <a:xfrm>
                            <a:off x="1450227" y="0"/>
                            <a:ext cx="378457" cy="276865"/>
                          </a:xfrm>
                          <a:prstGeom prst="rect">
                            <a:avLst/>
                          </a:prstGeom>
                          <a:noFill/>
                          <a:ln w="9525">
                            <a:noFill/>
                            <a:miter lim="800000"/>
                            <a:headEnd/>
                            <a:tailEnd/>
                          </a:ln>
                        </wps:spPr>
                        <wps:txbx>
                          <w:txbxContent>
                            <w:p w14:paraId="40DC8855" w14:textId="77777777" w:rsidR="00E2118F" w:rsidRDefault="00E2118F" w:rsidP="00E2118F">
                              <w:r>
                                <w:t>A'’</w:t>
                              </w:r>
                            </w:p>
                          </w:txbxContent>
                        </wps:txbx>
                        <wps:bodyPr rot="0" vert="horz" wrap="square" lIns="91440" tIns="45720" rIns="91440" bIns="45720" anchor="t" anchorCtr="0">
                          <a:noAutofit/>
                        </wps:bodyPr>
                      </wps:wsp>
                      <wps:wsp>
                        <wps:cNvPr id="9" name="Straight Arrow Connector 9"/>
                        <wps:cNvCnPr/>
                        <wps:spPr>
                          <a:xfrm>
                            <a:off x="704729" y="640663"/>
                            <a:ext cx="311785" cy="0"/>
                          </a:xfrm>
                          <a:prstGeom prst="straightConnector1">
                            <a:avLst/>
                          </a:prstGeom>
                          <a:ln w="9525" cap="flat">
                            <a:solidFill>
                              <a:schemeClr val="tx1"/>
                            </a:solidFill>
                            <a:miter lim="800000"/>
                            <a:headEnd type="none" w="med" len="med"/>
                            <a:tailEnd type="arrow"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E20F0A" id="Group 19" o:spid="_x0000_s1026" style="position:absolute;left:0;text-align:left;margin-left:217.25pt;margin-top:4.75pt;width:2in;height:79.9pt;z-index:251656192;mso-position-horizontal-relative:page;mso-width-relative:margin;mso-height-relative:margin" coordsize="18286,1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">
                <v:line id="Straight Connector 1" o:spid="_x0000_s1027" style="position:absolute;visibility:visible;mso-wrap-style:square" from="2329,873" to="7803,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" strokecolor="black [3213]" strokeweight="1pt">
                  <v:stroke endarrow="open" joinstyle="miter"/>
                </v:line>
                <v:line id="Straight Connector 7" o:spid="_x0000_s1028" style="position:absolute;flip:y;visibility:visible;mso-wrap-style:square" from="9726,698" to="15200,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" strokecolor="black [3213]" strokeweight="1pt">
                  <v:stroke endarrow="open" joinstyle="miter"/>
                </v:line>
                <v:shapetype id="_x0000_t202" coordsize="21600,21600" o:spt="202" path="m,l,21600r21600,l21600,xe">
                  <v:stroke joinstyle="miter"/>
                  <v:path gradientshapeok="t" o:connecttype="rect"/>
                </v:shapetype>
                <v:shape id="Text Box 2" o:spid="_x0000_s1029" type="#_x0000_t202" style="position:absolute;width:2571;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8DE9D61" w14:textId="77777777" w:rsidR="00E2118F" w:rsidRDefault="00E2118F" w:rsidP="00E2118F">
                        <w:r>
                          <w:t>A</w:t>
                        </w:r>
                      </w:p>
                    </w:txbxContent>
                  </v:textbox>
                </v:shape>
                <v:shapetype id="_x0000_t32" coordsize="21600,21600" o:spt="32" o:oned="t" path="m,l21600,21600e" filled="f">
                  <v:path arrowok="t" fillok="f" o:connecttype="none"/>
                  <o:lock v:ext="edit" shapetype="t"/>
                </v:shapetype>
                <v:shape id="Straight Arrow Connector 11" o:spid="_x0000_s1030" type="#_x0000_t32" style="position:absolute;left:3319;top:1456;width:10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" strokecolor="black [3213]">
                  <v:stroke endarrow="open" endarrowlength="short" joinstyle="miter"/>
                </v:shape>
                <v:shape id="Text Box 2" o:spid="_x0000_s1031" type="#_x0000_t202" style="position:absolute;left:1863;top:2446;width:257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F485F6B" w14:textId="77777777" w:rsidR="00E2118F" w:rsidRDefault="00E2118F" w:rsidP="00E2118F">
                        <w:r>
                          <w:t>B</w:t>
                        </w:r>
                      </w:p>
                    </w:txbxContent>
                  </v:textbox>
                </v:shape>
                <v:shape id="Straight Arrow Connector 10" o:spid="_x0000_s1032" type="#_x0000_t32" style="position:absolute;left:5241;top:3960;width:68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" strokecolor="black [3213]">
                  <v:stroke endarrow="open" endarrowlength="short" joinstyle="miter"/>
                </v:shape>
                <v:shape id="Text Box 2" o:spid="_x0000_s1033" type="#_x0000_t202" style="position:absolute;left:3611;top:5125;width:2571;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68142CB" w14:textId="77777777" w:rsidR="00E2118F" w:rsidRDefault="00E2118F" w:rsidP="00E2118F">
                        <w:r>
                          <w:t>C</w:t>
                        </w:r>
                      </w:p>
                    </w:txbxContent>
                  </v:textbox>
                </v:shape>
                <v:shape id="Text Box 2" o:spid="_x0000_s1034" type="#_x0000_t202" style="position:absolute;left:10833;top:5125;width:352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7EC450F" w14:textId="77777777" w:rsidR="00E2118F" w:rsidRDefault="00E2118F" w:rsidP="00E2118F">
                        <w:r>
                          <w:t>C’</w:t>
                        </w:r>
                      </w:p>
                    </w:txbxContent>
                  </v:textbox>
                </v:shape>
                <v:shape id="Text Box 2" o:spid="_x0000_s1035" type="#_x0000_t202" style="position:absolute;left:7338;top:7687;width:257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E2205B9" w14:textId="77777777" w:rsidR="00E2118F" w:rsidRDefault="00E2118F" w:rsidP="00E2118F">
                        <w:r>
                          <w:t>D</w:t>
                        </w:r>
                      </w:p>
                    </w:txbxContent>
                  </v:textbox>
                </v:shape>
                <v:shape id="Text Box 2" o:spid="_x0000_s1036" type="#_x0000_t202" style="position:absolute;left:12638;top:2504;width:362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A4269AA" w14:textId="77777777" w:rsidR="00E2118F" w:rsidRDefault="00E2118F" w:rsidP="00E2118F">
                        <w:r>
                          <w:t>B’</w:t>
                        </w:r>
                      </w:p>
                    </w:txbxContent>
                  </v:textbox>
                </v:shape>
                <v:shape id="Text Box 2" o:spid="_x0000_s1037" type="#_x0000_t202" style="position:absolute;left:14502;width:3784;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0DC8855" w14:textId="77777777" w:rsidR="00E2118F" w:rsidRDefault="00E2118F" w:rsidP="00E2118F">
                        <w:r>
                          <w:t>A'’</w:t>
                        </w:r>
                      </w:p>
                    </w:txbxContent>
                  </v:textbox>
                </v:shape>
                <v:shape id="Straight Arrow Connector 9" o:spid="_x0000_s1038" type="#_x0000_t32" style="position:absolute;left:7047;top:6406;width:3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" strokecolor="black [3213]">
                  <v:stroke endarrow="open" endarrowlength="short" joinstyle="miter"/>
                </v:shape>
                <w10:wrap anchorx="page"/>
              </v:group>
            </w:pict>
          </mc:Fallback>
        </mc:AlternateContent>
      </w:r>
      <w:r w:rsidR="00F53792">
        <w:tab/>
      </w:r>
      <w:r w:rsidR="00452A22">
        <w:tab/>
      </w:r>
      <w:r w:rsidR="00452A22">
        <w:tab/>
      </w:r>
      <w:r w:rsidR="00452A22">
        <w:tab/>
      </w:r>
      <w:r w:rsidR="00452A22">
        <w:tab/>
      </w:r>
      <w:r w:rsidR="00452A22">
        <w:tab/>
      </w:r>
      <w:r w:rsidR="00452A22">
        <w:tab/>
      </w:r>
      <w:r w:rsidR="00452A22">
        <w:tab/>
      </w:r>
      <w:r w:rsidR="004B5854">
        <w:tab/>
      </w:r>
    </w:p>
    <w:p w14:paraId="21509FD9" w14:textId="57D9FF9D" w:rsidR="00452A22" w:rsidRDefault="00E2118F" w:rsidP="00E950D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pPr>
      <w:r>
        <w:t xml:space="preserve">                 </w:t>
      </w:r>
      <w:r w:rsidR="00452A22">
        <w:t>Genesis</w:t>
      </w:r>
      <w:r w:rsidR="00452A22">
        <w:tab/>
      </w:r>
      <w:r w:rsidR="00452A22">
        <w:tab/>
      </w:r>
      <w:r w:rsidR="004B5854">
        <w:tab/>
      </w:r>
      <w:r w:rsidR="00452A22">
        <w:tab/>
      </w:r>
      <w:r w:rsidR="00452A22">
        <w:tab/>
      </w:r>
      <w:r w:rsidR="00452A22">
        <w:tab/>
      </w:r>
      <w:r w:rsidR="00452A22">
        <w:tab/>
      </w:r>
      <w:r w:rsidR="00452A22">
        <w:tab/>
      </w:r>
      <w:r w:rsidR="004B5854">
        <w:tab/>
      </w:r>
      <w:r w:rsidR="00452A22">
        <w:tab/>
      </w:r>
      <w:r w:rsidR="00452A22">
        <w:tab/>
      </w:r>
      <w:r w:rsidR="00452A22">
        <w:tab/>
        <w:t>Exodus</w:t>
      </w:r>
    </w:p>
    <w:p w14:paraId="2D10F923" w14:textId="1F4E95EF" w:rsidR="00452A22" w:rsidRDefault="00FF508B" w:rsidP="00E950D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pPr>
      <w:r>
        <w:tab/>
      </w:r>
      <w:r w:rsidR="00E2118F">
        <w:t xml:space="preserve"> </w:t>
      </w:r>
      <w:r w:rsidR="00452A22">
        <w:t xml:space="preserve"> </w:t>
      </w:r>
      <w:r w:rsidR="00E2118F">
        <w:tab/>
      </w:r>
      <w:r w:rsidR="00E2118F">
        <w:tab/>
        <w:t xml:space="preserve">   </w:t>
      </w:r>
      <w:r w:rsidR="00452A22">
        <w:t>Light</w:t>
      </w:r>
      <w:r w:rsidR="00F53792">
        <w:tab/>
      </w:r>
      <w:r w:rsidR="00F53792">
        <w:tab/>
      </w:r>
      <w:r w:rsidR="00F53792">
        <w:tab/>
      </w:r>
      <w:r w:rsidR="00F53792">
        <w:tab/>
      </w:r>
      <w:r w:rsidR="00452A22">
        <w:tab/>
      </w:r>
      <w:r w:rsidR="00452A22">
        <w:tab/>
      </w:r>
      <w:r w:rsidR="00452A22">
        <w:tab/>
      </w:r>
      <w:r w:rsidR="00F53792">
        <w:tab/>
      </w:r>
      <w:r w:rsidR="00F53792">
        <w:tab/>
      </w:r>
      <w:r w:rsidR="00F53792">
        <w:tab/>
      </w:r>
      <w:r w:rsidR="00F53792">
        <w:tab/>
      </w:r>
      <w:r w:rsidR="00E2118F">
        <w:t xml:space="preserve"> </w:t>
      </w:r>
      <w:r w:rsidR="00452A22">
        <w:tab/>
      </w:r>
      <w:r w:rsidR="00E2118F">
        <w:t xml:space="preserve"> </w:t>
      </w:r>
      <w:r w:rsidR="00452A22">
        <w:t>Glory</w:t>
      </w:r>
    </w:p>
    <w:p w14:paraId="7F327B1E" w14:textId="77777777" w:rsidR="00452A22" w:rsidRDefault="00FF508B" w:rsidP="00E950D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pPr>
      <w:r>
        <w:tab/>
      </w:r>
      <w:r>
        <w:tab/>
      </w:r>
      <w:r w:rsidR="00452A22">
        <w:tab/>
      </w:r>
      <w:r w:rsidR="00452A22">
        <w:tab/>
      </w:r>
      <w:r w:rsidR="00452A22">
        <w:tab/>
      </w:r>
      <w:r w:rsidR="00452A22">
        <w:tab/>
      </w:r>
      <w:r w:rsidR="00452A22">
        <w:tab/>
      </w:r>
      <w:r w:rsidR="00452A22">
        <w:tab/>
      </w:r>
    </w:p>
    <w:p w14:paraId="4EAA3212" w14:textId="6F92697E" w:rsidR="000F7C66" w:rsidRDefault="00F53792" w:rsidP="00E950D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pPr>
      <w:r>
        <w:t>The chiastic pattern</w:t>
      </w:r>
      <w:r w:rsidR="00FA4EA5">
        <w:t xml:space="preserve"> of the prologue</w:t>
      </w:r>
      <w:r>
        <w:t xml:space="preserve"> is further tied tog</w:t>
      </w:r>
      <w:r w:rsidR="00FA4EA5">
        <w:t xml:space="preserve">ether through the two </w:t>
      </w:r>
      <w:r>
        <w:t>Old Testament</w:t>
      </w:r>
      <w:r w:rsidR="00FA4EA5">
        <w:t xml:space="preserve"> allusions</w:t>
      </w:r>
      <w:r>
        <w:t xml:space="preserve"> and through the light and glory motifs drawn from those allusions and applied to Jesus Christ</w:t>
      </w:r>
      <w:r w:rsidR="00D32D02">
        <w:t xml:space="preserve">. </w:t>
      </w:r>
      <w:r w:rsidR="00FA4EA5">
        <w:t>John uses t</w:t>
      </w:r>
      <w:r w:rsidR="00466F0C">
        <w:t>he parallel pai</w:t>
      </w:r>
      <w:r w:rsidR="00FA4EA5">
        <w:t>rs</w:t>
      </w:r>
      <w:r w:rsidR="00466F0C">
        <w:t xml:space="preserve"> </w:t>
      </w:r>
      <w:r w:rsidR="00974F62">
        <w:t xml:space="preserve">of his chiasm </w:t>
      </w:r>
      <w:r w:rsidR="00466F0C">
        <w:t xml:space="preserve">to </w:t>
      </w:r>
      <w:r w:rsidR="00974F62">
        <w:t xml:space="preserve">conceptually </w:t>
      </w:r>
      <w:r w:rsidR="00466F0C">
        <w:t>develop his agenda</w:t>
      </w:r>
      <w:r w:rsidR="00D32D02">
        <w:t>.</w:t>
      </w:r>
      <w:r w:rsidR="00974F62" w:rsidRPr="00974F62">
        <w:rPr>
          <w:rStyle w:val="FootnoteReference"/>
        </w:rPr>
        <w:t xml:space="preserve"> </w:t>
      </w:r>
      <w:r w:rsidR="00974F62">
        <w:rPr>
          <w:rStyle w:val="FootnoteReference"/>
        </w:rPr>
        <w:footnoteReference w:id="20"/>
      </w:r>
      <w:r w:rsidR="00D32D02">
        <w:t xml:space="preserve"> </w:t>
      </w:r>
      <w:r w:rsidR="00466F0C">
        <w:t>A and A’ both represent Jesus in an eternal state of being</w:t>
      </w:r>
      <w:r w:rsidR="00F2557B" w:rsidRPr="00F2557B">
        <w:rPr>
          <w:rFonts w:cs="Times New Roman"/>
          <w:szCs w:val="24"/>
          <w:vertAlign w:val="superscript"/>
        </w:rPr>
        <w:footnoteReference w:id="21"/>
      </w:r>
      <w:r w:rsidR="00466F0C">
        <w:t xml:space="preserve"> with A’ developing further the ideas of Christ as God, Christ with God and Christ revealing God initiated in A</w:t>
      </w:r>
      <w:r w:rsidR="00D32D02">
        <w:t xml:space="preserve">. </w:t>
      </w:r>
      <w:r w:rsidR="00466F0C">
        <w:t>In A John introduces the word in special relationship to God</w:t>
      </w:r>
      <w:r w:rsidR="00D32D02">
        <w:t xml:space="preserve">. </w:t>
      </w:r>
      <w:r w:rsidR="00466F0C">
        <w:t>In A’ he names Jesus and uses the familia</w:t>
      </w:r>
      <w:r w:rsidR="00FA4EA5">
        <w:t>l terms father and son to deepen</w:t>
      </w:r>
      <w:r w:rsidR="00466F0C">
        <w:t xml:space="preserve"> the intimacy in the relationship between word and God</w:t>
      </w:r>
      <w:r w:rsidR="00D32D02">
        <w:t xml:space="preserve">. </w:t>
      </w:r>
      <w:r w:rsidR="00466F0C">
        <w:t>In B John the Baptist is introduced as witness</w:t>
      </w:r>
      <w:r w:rsidR="00D32D02">
        <w:t xml:space="preserve">. </w:t>
      </w:r>
      <w:r w:rsidR="00466F0C">
        <w:t>B’ provid</w:t>
      </w:r>
      <w:r w:rsidR="00FA4EA5">
        <w:t xml:space="preserve">es actual content, quoting </w:t>
      </w:r>
      <w:r w:rsidR="00466F0C">
        <w:t>the witness of John the Baptist</w:t>
      </w:r>
      <w:r w:rsidR="00D32D02">
        <w:t xml:space="preserve">. </w:t>
      </w:r>
      <w:r w:rsidR="00466F0C">
        <w:t>C declares that the light has come into the world</w:t>
      </w:r>
      <w:r w:rsidR="00D32D02">
        <w:t xml:space="preserve">. </w:t>
      </w:r>
      <w:r w:rsidR="00466F0C">
        <w:t>C’ goes much further declaring not only that the word has come into the world, but that the word has come into the world being made flesh</w:t>
      </w:r>
      <w:r w:rsidR="00D32D02">
        <w:t xml:space="preserve">. </w:t>
      </w:r>
      <w:r w:rsidR="00466F0C">
        <w:t xml:space="preserve">C’ </w:t>
      </w:r>
      <w:r w:rsidR="00FA4EA5">
        <w:t>also indicates the name of the word</w:t>
      </w:r>
      <w:r w:rsidR="00466F0C">
        <w:t xml:space="preserve"> as truth and grace. </w:t>
      </w:r>
    </w:p>
    <w:p w14:paraId="7975DD7D" w14:textId="298F7224" w:rsidR="00930CF6" w:rsidRDefault="00AF25D8" w:rsidP="00E950D3">
      <w:pPr>
        <w:spacing w:after="0" w:line="360" w:lineRule="auto"/>
        <w:ind w:firstLine="720"/>
        <w:jc w:val="both"/>
      </w:pPr>
      <w:r>
        <w:lastRenderedPageBreak/>
        <w:t>Though the</w:t>
      </w:r>
      <w:r w:rsidR="00F21A44">
        <w:t xml:space="preserve"> middle point of the chiasm</w:t>
      </w:r>
      <w:r>
        <w:t xml:space="preserve"> certainly should be understood as carefully chosen by the author,</w:t>
      </w:r>
      <w:r>
        <w:rPr>
          <w:rStyle w:val="FootnoteReference"/>
        </w:rPr>
        <w:footnoteReference w:id="22"/>
      </w:r>
      <w:r>
        <w:t xml:space="preserve"> the center</w:t>
      </w:r>
      <w:r w:rsidR="00F21A44">
        <w:t xml:space="preserve"> </w:t>
      </w:r>
      <w:r>
        <w:t>does not necessarily command lone privilege</w:t>
      </w:r>
      <w:r w:rsidR="00D32D02">
        <w:t xml:space="preserve">. </w:t>
      </w:r>
      <w:r>
        <w:t>John’s retention of the name Jesus Christ until A’ creates a sense of suspense revealed only at the end of the structure</w:t>
      </w:r>
      <w:r w:rsidR="00D32D02">
        <w:t xml:space="preserve">. </w:t>
      </w:r>
      <w:r w:rsidR="00F21A44">
        <w:t xml:space="preserve">The beginning and end </w:t>
      </w:r>
      <w:r>
        <w:t>may be recognized as sharing</w:t>
      </w:r>
      <w:r w:rsidR="00F21A44">
        <w:t xml:space="preserve"> special importance</w:t>
      </w:r>
      <w:r>
        <w:t xml:space="preserve"> with the center</w:t>
      </w:r>
      <w:r w:rsidR="00D32D02">
        <w:t xml:space="preserve">. </w:t>
      </w:r>
      <w:r w:rsidR="00F2557B">
        <w:t xml:space="preserve">The effect of </w:t>
      </w:r>
      <w:r w:rsidR="00193C06">
        <w:t xml:space="preserve">John’s A – D – A’ structure </w:t>
      </w:r>
      <w:r w:rsidR="00F2557B">
        <w:t>may be</w:t>
      </w:r>
      <w:r w:rsidR="00E2118F">
        <w:t xml:space="preserve"> intended</w:t>
      </w:r>
      <w:r w:rsidR="00F2557B">
        <w:t xml:space="preserve"> to maintain</w:t>
      </w:r>
      <w:r w:rsidR="00193C06">
        <w:t xml:space="preserve"> a positi</w:t>
      </w:r>
      <w:r>
        <w:t xml:space="preserve">ve tension between the </w:t>
      </w:r>
      <w:r w:rsidR="00193C06">
        <w:t>nature of</w:t>
      </w:r>
      <w:r>
        <w:t xml:space="preserve"> Jesus</w:t>
      </w:r>
      <w:r w:rsidR="00767399">
        <w:t xml:space="preserve"> Christ and the benefit</w:t>
      </w:r>
      <w:r w:rsidR="00193C06">
        <w:t xml:space="preserve"> that belief brings</w:t>
      </w:r>
      <w:r w:rsidR="00767399">
        <w:t xml:space="preserve"> to human beings</w:t>
      </w:r>
      <w:r w:rsidR="00D32D02">
        <w:t xml:space="preserve">. </w:t>
      </w:r>
      <w:r w:rsidR="00767399">
        <w:t xml:space="preserve">A </w:t>
      </w:r>
      <w:r>
        <w:t>tension</w:t>
      </w:r>
      <w:r w:rsidR="00767399">
        <w:t xml:space="preserve"> </w:t>
      </w:r>
      <w:r w:rsidR="00193C06">
        <w:t>regarding the reward of</w:t>
      </w:r>
      <w:r w:rsidR="00767399">
        <w:t xml:space="preserve"> belief arises from the motives of the one who believes</w:t>
      </w:r>
      <w:r w:rsidR="00D32D02">
        <w:t xml:space="preserve">. </w:t>
      </w:r>
      <w:r w:rsidR="00767399">
        <w:t>Is belief motivated out of admir</w:t>
      </w:r>
      <w:r>
        <w:t>ation toward the one in whom a person believes</w:t>
      </w:r>
      <w:r w:rsidR="00767399">
        <w:t xml:space="preserve"> or by</w:t>
      </w:r>
      <w:r w:rsidR="00FA4EA5">
        <w:t xml:space="preserve"> a more mercenary motive to </w:t>
      </w:r>
      <w:r>
        <w:t>simply</w:t>
      </w:r>
      <w:r w:rsidR="00F21A44">
        <w:t xml:space="preserve"> obtain the reward</w:t>
      </w:r>
      <w:r w:rsidR="00767399">
        <w:t xml:space="preserve"> of belief?</w:t>
      </w:r>
      <w:r w:rsidR="00281525">
        <w:t xml:space="preserve"> </w:t>
      </w:r>
      <w:r w:rsidR="00F21A44">
        <w:t xml:space="preserve">By beginning with the unique nature of Jesus as God, moving on </w:t>
      </w:r>
      <w:r>
        <w:t>to the reward of belief</w:t>
      </w:r>
      <w:r w:rsidR="00F21A44">
        <w:t xml:space="preserve"> and then returning back to further elaborate on the nature </w:t>
      </w:r>
      <w:r>
        <w:t xml:space="preserve">of Jesus, John does not </w:t>
      </w:r>
      <w:r w:rsidR="00F21A44">
        <w:t>leave the reader with the idea that reward alone is the most important aspect of his agenda</w:t>
      </w:r>
      <w:r w:rsidR="00D32D02">
        <w:t xml:space="preserve">. </w:t>
      </w:r>
      <w:r w:rsidR="00F21A44">
        <w:t>Reward is related to the right recognition of the nature of Jesus</w:t>
      </w:r>
      <w:r w:rsidR="00D32D02">
        <w:t xml:space="preserve">. </w:t>
      </w:r>
      <w:r w:rsidR="00F21A44">
        <w:t xml:space="preserve">Thus, John’s structure holds together in </w:t>
      </w:r>
      <w:r w:rsidR="00767399">
        <w:t>tensio</w:t>
      </w:r>
      <w:r w:rsidR="00F21A44">
        <w:t>n the relationship between the</w:t>
      </w:r>
      <w:r w:rsidR="00767399">
        <w:t xml:space="preserve"> object of belief and the reward of</w:t>
      </w:r>
      <w:r w:rsidR="00F21A44">
        <w:t xml:space="preserve"> belief</w:t>
      </w:r>
      <w:r w:rsidR="00D32D02">
        <w:t>.</w:t>
      </w:r>
      <w:r w:rsidR="00E2118F">
        <w:t xml:space="preserve"> </w:t>
      </w:r>
      <w:r w:rsidR="00010F5B">
        <w:t>John works to maintain this tension through the gospel emphasizing both the glory of Christ and promise of eternal life to those who believe.</w:t>
      </w:r>
    </w:p>
    <w:p w14:paraId="68E2E68A" w14:textId="77777777" w:rsidR="00281525" w:rsidRDefault="00281525" w:rsidP="00E950D3">
      <w:pPr>
        <w:spacing w:after="0" w:line="360" w:lineRule="auto"/>
        <w:ind w:firstLine="720"/>
        <w:jc w:val="both"/>
      </w:pPr>
    </w:p>
    <w:p w14:paraId="39BF0D01" w14:textId="29224F61" w:rsidR="00767399" w:rsidRPr="00930CF6" w:rsidRDefault="00327331" w:rsidP="00E950D3">
      <w:pPr>
        <w:pStyle w:val="Heading1"/>
        <w:jc w:val="both"/>
        <w:rPr>
          <w:b w:val="0"/>
        </w:rPr>
      </w:pPr>
      <w:r>
        <w:rPr>
          <w:b w:val="0"/>
        </w:rPr>
        <w:t>4</w:t>
      </w:r>
      <w:r w:rsidR="00930CF6" w:rsidRPr="00930CF6">
        <w:rPr>
          <w:b w:val="0"/>
        </w:rPr>
        <w:t>.</w:t>
      </w:r>
      <w:r w:rsidR="00064F77">
        <w:rPr>
          <w:b w:val="0"/>
        </w:rPr>
        <w:t xml:space="preserve"> Glory as a Unifying Concept in the Second Half of John’s Prologue</w:t>
      </w:r>
    </w:p>
    <w:p w14:paraId="055B5433" w14:textId="1BB9D962" w:rsidR="00064F77" w:rsidRDefault="00DB64A3" w:rsidP="00E950D3">
      <w:pPr>
        <w:spacing w:after="0" w:line="360" w:lineRule="auto"/>
        <w:ind w:firstLine="720"/>
        <w:jc w:val="both"/>
      </w:pPr>
      <w:r>
        <w:t xml:space="preserve">While </w:t>
      </w:r>
      <w:r w:rsidR="00ED0A2C">
        <w:t>allusion to Genesis and</w:t>
      </w:r>
      <w:r w:rsidR="00767399">
        <w:t xml:space="preserve"> </w:t>
      </w:r>
      <w:r w:rsidR="00A279A0">
        <w:t xml:space="preserve">the </w:t>
      </w:r>
      <w:r w:rsidR="00767399">
        <w:t xml:space="preserve">light </w:t>
      </w:r>
      <w:r w:rsidR="00A279A0">
        <w:t xml:space="preserve">metaphor </w:t>
      </w:r>
      <w:r w:rsidR="001E1918">
        <w:t>dominate the first half of the prologue’s</w:t>
      </w:r>
      <w:r>
        <w:t xml:space="preserve"> chiasm, John</w:t>
      </w:r>
      <w:r w:rsidR="001E1918">
        <w:t xml:space="preserve"> continues to promote</w:t>
      </w:r>
      <w:r>
        <w:t xml:space="preserve"> his persuasive agenda in the second half</w:t>
      </w:r>
      <w:r w:rsidR="00767399">
        <w:t xml:space="preserve"> through the c</w:t>
      </w:r>
      <w:r w:rsidR="00A279A0">
        <w:t>oncept of gl</w:t>
      </w:r>
      <w:r w:rsidR="0076080F">
        <w:t>ory and an</w:t>
      </w:r>
      <w:r w:rsidR="001E1918">
        <w:t xml:space="preserve"> allusion to</w:t>
      </w:r>
      <w:r w:rsidR="00A279A0">
        <w:t xml:space="preserve"> Exodus</w:t>
      </w:r>
      <w:r w:rsidR="00D32D02">
        <w:t xml:space="preserve">. </w:t>
      </w:r>
      <w:r w:rsidR="00767399">
        <w:t>At the pivot point of the structure in 1:12</w:t>
      </w:r>
      <w:r w:rsidR="00FA4EA5">
        <w:t>-13</w:t>
      </w:r>
      <w:r w:rsidR="00767399">
        <w:t>, John connects reception of Christ with belief in his name</w:t>
      </w:r>
      <w:r w:rsidR="00D32D02">
        <w:t xml:space="preserve">. </w:t>
      </w:r>
      <w:r w:rsidR="00767399">
        <w:t xml:space="preserve">John’s readers would understand belief in the name </w:t>
      </w:r>
      <w:r w:rsidR="00FA4EA5">
        <w:t>to</w:t>
      </w:r>
      <w:r w:rsidR="001956EF">
        <w:t xml:space="preserve"> i</w:t>
      </w:r>
      <w:r w:rsidR="00B80760">
        <w:t>ndicate belief in “</w:t>
      </w:r>
      <w:r w:rsidR="001956EF">
        <w:t>the character of</w:t>
      </w:r>
      <w:r w:rsidR="00B80760">
        <w:t xml:space="preserve"> the person, or even in the person himself</w:t>
      </w:r>
      <w:r w:rsidR="00767399">
        <w:t>.</w:t>
      </w:r>
      <w:r w:rsidR="00B80760">
        <w:t>”</w:t>
      </w:r>
      <w:r w:rsidR="00767399">
        <w:rPr>
          <w:rStyle w:val="FootnoteReference"/>
        </w:rPr>
        <w:footnoteReference w:id="23"/>
      </w:r>
      <w:r w:rsidR="001E1918">
        <w:t xml:space="preserve"> Reference to belief in the name also serves to subtly set up an</w:t>
      </w:r>
      <w:r>
        <w:t xml:space="preserve"> allusion to</w:t>
      </w:r>
      <w:r w:rsidR="00767399">
        <w:t xml:space="preserve"> one of the most important name stories in the Old Testament</w:t>
      </w:r>
      <w:r w:rsidR="00D32D02">
        <w:t xml:space="preserve">. </w:t>
      </w:r>
      <w:r w:rsidR="001E1918">
        <w:t>T</w:t>
      </w:r>
      <w:r w:rsidR="0076080F">
        <w:t>hrough John’s</w:t>
      </w:r>
      <w:r w:rsidR="00D32D02">
        <w:t xml:space="preserve"> use of t</w:t>
      </w:r>
      <w:r w:rsidR="00767399">
        <w:t>he words dwelling, glory, grace, truth</w:t>
      </w:r>
      <w:r w:rsidR="001E1918">
        <w:t xml:space="preserve">, law and Moses in verses 14 and 17, the reader </w:t>
      </w:r>
      <w:r w:rsidR="0076080F">
        <w:t>is reminded of God’s declaration of his name to Moses during a moment of national crisis</w:t>
      </w:r>
      <w:r w:rsidR="001E1918">
        <w:t xml:space="preserve">. </w:t>
      </w:r>
      <w:r w:rsidR="00767399">
        <w:t>A summary of the</w:t>
      </w:r>
      <w:r w:rsidR="00D32D02">
        <w:t xml:space="preserve"> Exodus </w:t>
      </w:r>
      <w:r w:rsidR="00A279A0">
        <w:t xml:space="preserve">story will help </w:t>
      </w:r>
      <w:r w:rsidR="0076080F">
        <w:t>clarify how John establishes the allusion and how he uses the narrative to develop his representation of Jesus Christ.</w:t>
      </w:r>
    </w:p>
    <w:p w14:paraId="43D54890" w14:textId="77777777" w:rsidR="00064F77" w:rsidRDefault="00064F77" w:rsidP="00E950D3">
      <w:pPr>
        <w:spacing w:after="0" w:line="360" w:lineRule="auto"/>
        <w:ind w:firstLine="720"/>
        <w:jc w:val="both"/>
      </w:pPr>
    </w:p>
    <w:p w14:paraId="684D8C7C" w14:textId="597AEC80" w:rsidR="00064F77" w:rsidRDefault="00327331" w:rsidP="00064F77">
      <w:pPr>
        <w:spacing w:after="0" w:line="360" w:lineRule="auto"/>
        <w:jc w:val="both"/>
      </w:pPr>
      <w:r>
        <w:lastRenderedPageBreak/>
        <w:t>4</w:t>
      </w:r>
      <w:r w:rsidR="00064F77">
        <w:t xml:space="preserve">.1 </w:t>
      </w:r>
      <w:r w:rsidR="00F432C2">
        <w:t>Glory and God’s Name in the Exodus Narrative</w:t>
      </w:r>
    </w:p>
    <w:p w14:paraId="742B48C4" w14:textId="5A72988E" w:rsidR="00767399" w:rsidRDefault="00767399" w:rsidP="00E950D3">
      <w:pPr>
        <w:spacing w:after="0" w:line="360" w:lineRule="auto"/>
        <w:ind w:firstLine="720"/>
        <w:jc w:val="both"/>
      </w:pPr>
      <w:r>
        <w:t>In Genesis God promised to make Abraham a great nation and to give him a land</w:t>
      </w:r>
      <w:r w:rsidR="00D32D02">
        <w:t xml:space="preserve">. </w:t>
      </w:r>
      <w:r>
        <w:t>The n</w:t>
      </w:r>
      <w:r w:rsidR="00DC2466">
        <w:t>arrative ends, however, with only a</w:t>
      </w:r>
      <w:r>
        <w:t xml:space="preserve"> family, saved through the younger son Joseph, living in</w:t>
      </w:r>
      <w:r w:rsidR="00DC2466">
        <w:t xml:space="preserve"> the foreign land of</w:t>
      </w:r>
      <w:r>
        <w:t xml:space="preserve"> Egypt</w:t>
      </w:r>
      <w:r w:rsidR="00D32D02">
        <w:t xml:space="preserve">. </w:t>
      </w:r>
      <w:r>
        <w:t>A twist in the narrative takes place between Genesis and Exodus</w:t>
      </w:r>
      <w:r w:rsidR="00D32D02">
        <w:t xml:space="preserve">. </w:t>
      </w:r>
      <w:r>
        <w:t>The favored family at the end of Genesis has become an enslaved multitude by the start of Exodus</w:t>
      </w:r>
      <w:r w:rsidR="00D32D02">
        <w:t xml:space="preserve">. </w:t>
      </w:r>
      <w:r>
        <w:t>They are not a nation, but a people of slaves with no lan</w:t>
      </w:r>
      <w:r w:rsidR="00DC2466">
        <w:t>d, no law and</w:t>
      </w:r>
      <w:r w:rsidR="00010F5B">
        <w:t>, seemingly,</w:t>
      </w:r>
      <w:r w:rsidR="00DC2466">
        <w:t xml:space="preserve"> no god</w:t>
      </w:r>
      <w:r w:rsidR="00D32D02">
        <w:t xml:space="preserve">. </w:t>
      </w:r>
      <w:r w:rsidR="00DC2466">
        <w:t xml:space="preserve">The </w:t>
      </w:r>
      <w:r w:rsidR="00E2118F">
        <w:t xml:space="preserve">Exodus </w:t>
      </w:r>
      <w:r w:rsidR="00DC2466">
        <w:t>narrative</w:t>
      </w:r>
      <w:r>
        <w:t xml:space="preserve"> may be divided into three major sections, the rescue of Israel from Egypt, the establishment of covenant at Sinai and the indwelling of God in the tabernacle</w:t>
      </w:r>
      <w:r w:rsidR="00D32D02">
        <w:t xml:space="preserve">. </w:t>
      </w:r>
      <w:r>
        <w:t>God, the great king, desires a people with whom he will covenant and among whom he will make his dwelling place on earth</w:t>
      </w:r>
      <w:r w:rsidR="00D32D02">
        <w:t>.</w:t>
      </w:r>
      <w:r w:rsidR="00010F5B">
        <w:t xml:space="preserve"> He had pr</w:t>
      </w:r>
      <w:r w:rsidR="00E2118F">
        <w:t xml:space="preserve">omised this people would be </w:t>
      </w:r>
      <w:r w:rsidR="00010F5B">
        <w:t>descendants of Abraham.</w:t>
      </w:r>
      <w:r w:rsidR="00D32D02">
        <w:t xml:space="preserve"> </w:t>
      </w:r>
      <w:r w:rsidR="00010F5B">
        <w:t xml:space="preserve">God </w:t>
      </w:r>
      <w:r>
        <w:t>begins</w:t>
      </w:r>
      <w:r w:rsidR="00010F5B">
        <w:t xml:space="preserve"> his rescue operation</w:t>
      </w:r>
      <w:r>
        <w:t xml:space="preserve"> by</w:t>
      </w:r>
      <w:r w:rsidR="00DC2466">
        <w:t xml:space="preserve"> selecting his spokesman Moses with a miraculous appearance</w:t>
      </w:r>
      <w:r>
        <w:t xml:space="preserve"> as fire on a bush that is not burned up</w:t>
      </w:r>
      <w:r w:rsidR="00D32D02">
        <w:t xml:space="preserve">. </w:t>
      </w:r>
      <w:r>
        <w:t xml:space="preserve">God proclaims his name to Moses as Yahweh, </w:t>
      </w:r>
      <w:r w:rsidR="00281525">
        <w:t>which may be translated “I am.”</w:t>
      </w:r>
      <w:r>
        <w:t xml:space="preserve"> Moses travels back to Egypt and announces to Pharaoh Yahweh’s </w:t>
      </w:r>
      <w:r w:rsidR="00281525">
        <w:t>command to, “Let my people go.”</w:t>
      </w:r>
      <w:r>
        <w:t xml:space="preserve"> Pharaoh tellingly responds, “Who is Yahweh that I should obey his voice t</w:t>
      </w:r>
      <w:r w:rsidR="00281525">
        <w:t xml:space="preserve">o let Israel go” (Exodus 5:2)? </w:t>
      </w:r>
      <w:r>
        <w:t>Yahweh then reveals</w:t>
      </w:r>
      <w:r w:rsidR="00010F5B">
        <w:t xml:space="preserve"> himself</w:t>
      </w:r>
      <w:r>
        <w:t xml:space="preserve"> to Pharaoh by defeating all the powers of Egypt through ten plagues and by demolishing Egypt’s chariot army in the middle of the Red Sea</w:t>
      </w:r>
      <w:r w:rsidR="00D32D02">
        <w:t xml:space="preserve">. </w:t>
      </w:r>
      <w:r>
        <w:t>Completing his rescue, God delivers Israel through the desert to Mount Sinai</w:t>
      </w:r>
      <w:r w:rsidR="00D32D02">
        <w:t xml:space="preserve">. </w:t>
      </w:r>
      <w:r>
        <w:t>Stage one of the narrative is completed with the rescue of Israel</w:t>
      </w:r>
      <w:r w:rsidR="00D32D02">
        <w:t xml:space="preserve">. </w:t>
      </w:r>
      <w:r>
        <w:t>In stage two God covenants with the nation in order to make Israel his special people</w:t>
      </w:r>
      <w:r w:rsidR="00D32D02">
        <w:t xml:space="preserve">. </w:t>
      </w:r>
      <w:r>
        <w:t>God appears again in fire but on an appropriately nation-sized mountain rather than</w:t>
      </w:r>
      <w:r w:rsidR="00010F5B">
        <w:t xml:space="preserve"> an</w:t>
      </w:r>
      <w:r>
        <w:t xml:space="preserve"> individual-sized bush</w:t>
      </w:r>
      <w:r w:rsidR="00D32D02">
        <w:t xml:space="preserve">. </w:t>
      </w:r>
      <w:r>
        <w:t>The people agree to the covenant, sacrifice is made to ratify the agreement</w:t>
      </w:r>
      <w:r w:rsidR="00DC2466">
        <w:t>,</w:t>
      </w:r>
      <w:r>
        <w:t xml:space="preserve"> and Moses returns to the mountain to receive the plans for God’s tabernacle</w:t>
      </w:r>
      <w:r w:rsidR="00D32D02">
        <w:t xml:space="preserve">. </w:t>
      </w:r>
      <w:r>
        <w:t>The narrative should come to an end with the return of Moses from the mountain and God taking up residence among the people in the tabernacle</w:t>
      </w:r>
      <w:r w:rsidR="00D32D02">
        <w:t xml:space="preserve">. </w:t>
      </w:r>
      <w:r>
        <w:t xml:space="preserve">Crisis, however, interrupts such a smooth ending, leading </w:t>
      </w:r>
      <w:r w:rsidR="0046262D">
        <w:t xml:space="preserve">to </w:t>
      </w:r>
      <w:r>
        <w:t>a third part of the narrative that must now bring about resolution, either by the destruction or reconciliation of Israel.</w:t>
      </w:r>
    </w:p>
    <w:p w14:paraId="3B937B6B" w14:textId="5EC6D70E" w:rsidR="00767399" w:rsidRDefault="00767399" w:rsidP="00E950D3">
      <w:pPr>
        <w:spacing w:after="0" w:line="360" w:lineRule="auto"/>
        <w:ind w:firstLine="720"/>
        <w:jc w:val="both"/>
      </w:pPr>
      <w:r>
        <w:t>The people of Israel initiate the crisis by breaking covenant with Yahweh through the making of a gold idol in his name</w:t>
      </w:r>
      <w:r w:rsidR="00D32D02">
        <w:t xml:space="preserve">. </w:t>
      </w:r>
      <w:r>
        <w:t>Returning during the idolatrous celebration Moses furiously breaks the tablets of revelation and destroys the idol</w:t>
      </w:r>
      <w:r w:rsidR="00D32D02">
        <w:t xml:space="preserve">. </w:t>
      </w:r>
      <w:r>
        <w:t>Incensed by the rebellion of Israel, God tells Moses he cannot dwell among Israel, declaring, “I will not go up in your midst, because you are an obstinate people, lest I destroy you on the way” (Exodus 33:3)</w:t>
      </w:r>
      <w:r w:rsidR="00D32D02">
        <w:t xml:space="preserve">. </w:t>
      </w:r>
      <w:r>
        <w:t xml:space="preserve">This is the dilemma of the burning bush </w:t>
      </w:r>
      <w:r>
        <w:lastRenderedPageBreak/>
        <w:t>introduced earlier in the narrative</w:t>
      </w:r>
      <w:r w:rsidR="00D32D02">
        <w:t xml:space="preserve">. </w:t>
      </w:r>
      <w:r>
        <w:t>How can fire remain on a bush without burning it up</w:t>
      </w:r>
      <w:r w:rsidR="00281525">
        <w:t xml:space="preserve">? </w:t>
      </w:r>
      <w:r>
        <w:t>How can a holy G</w:t>
      </w:r>
      <w:r w:rsidR="00281525">
        <w:t>od dwell among a sinful people</w:t>
      </w:r>
      <w:r w:rsidR="0046262D">
        <w:t xml:space="preserve"> without destroying them</w:t>
      </w:r>
      <w:r w:rsidR="00281525">
        <w:t>?</w:t>
      </w:r>
      <w:r>
        <w:t xml:space="preserve"> Moses pleads with God to keep his plan to dwell with his people, and God relents</w:t>
      </w:r>
      <w:r w:rsidR="00D32D02">
        <w:t xml:space="preserve">. </w:t>
      </w:r>
      <w:r>
        <w:t>Encouraged by the Lord’s acquiescence, and possibly concerned with the potential consequences, Moses beseeches Yahweh, “I pray you, show</w:t>
      </w:r>
      <w:r w:rsidR="00281525">
        <w:t xml:space="preserve"> me your glory” (Exodus 33:18)!</w:t>
      </w:r>
      <w:r>
        <w:t xml:space="preserve"> Yahweh responds with the assurance that no human being can see his glory and live</w:t>
      </w:r>
      <w:r w:rsidR="00D32D02">
        <w:t xml:space="preserve">. </w:t>
      </w:r>
      <w:r>
        <w:t xml:space="preserve">Instead he consents to speak his glory to Moses by proclaiming his name. </w:t>
      </w:r>
    </w:p>
    <w:p w14:paraId="23F28739" w14:textId="77777777" w:rsidR="00767399" w:rsidRDefault="00767399" w:rsidP="00E950D3">
      <w:pPr>
        <w:spacing w:after="0" w:line="360" w:lineRule="auto"/>
        <w:ind w:left="709" w:right="522"/>
        <w:jc w:val="both"/>
      </w:pPr>
      <w:r w:rsidRPr="00D117A5">
        <w:rPr>
          <w:i/>
        </w:rPr>
        <w:t xml:space="preserve">Then the </w:t>
      </w:r>
      <w:r w:rsidRPr="00D117A5">
        <w:rPr>
          <w:i/>
          <w:smallCaps/>
        </w:rPr>
        <w:t>Lord</w:t>
      </w:r>
      <w:r w:rsidRPr="00D117A5">
        <w:rPr>
          <w:i/>
        </w:rPr>
        <w:t xml:space="preserve"> passed by in front of him and proclaimed, “The </w:t>
      </w:r>
      <w:r w:rsidRPr="00D117A5">
        <w:rPr>
          <w:i/>
          <w:smallCaps/>
        </w:rPr>
        <w:t>Lord</w:t>
      </w:r>
      <w:r w:rsidRPr="00D117A5">
        <w:rPr>
          <w:i/>
        </w:rPr>
        <w:t xml:space="preserve">, the </w:t>
      </w:r>
      <w:r w:rsidRPr="00D117A5">
        <w:rPr>
          <w:i/>
          <w:smallCaps/>
        </w:rPr>
        <w:t>Lord</w:t>
      </w:r>
      <w:r w:rsidRPr="00D117A5">
        <w:rPr>
          <w:i/>
        </w:rPr>
        <w:t xml:space="preserve"> God, compassionate and gracious, slow to anger, and abounding in lovingkindness and truth; who keeps lovingkindness for thousands, who forgives iniquity, transgression and sin; yet He will by no means leave </w:t>
      </w:r>
      <w:r w:rsidRPr="00D117A5">
        <w:rPr>
          <w:i/>
          <w:iCs/>
        </w:rPr>
        <w:t>the guilty</w:t>
      </w:r>
      <w:r w:rsidRPr="00D117A5">
        <w:rPr>
          <w:i/>
        </w:rPr>
        <w:t xml:space="preserve"> unpunished, visiting the iniquity of fathers on the children and on the grandchildren to the third and fourth generations”</w:t>
      </w:r>
      <w:r>
        <w:t xml:space="preserve"> (Exodus 34:6-7).</w:t>
      </w:r>
    </w:p>
    <w:p w14:paraId="2A3A56E5" w14:textId="54A5B080" w:rsidR="00767399" w:rsidRDefault="00767399" w:rsidP="00E950D3">
      <w:pPr>
        <w:spacing w:after="0" w:line="360" w:lineRule="auto"/>
        <w:ind w:firstLine="720"/>
        <w:jc w:val="both"/>
      </w:pPr>
      <w:r>
        <w:t>God’s glory is not shown to Moses</w:t>
      </w:r>
      <w:r w:rsidR="00D32D02">
        <w:t xml:space="preserve">. </w:t>
      </w:r>
      <w:r>
        <w:t>God’s glory is spoken to Moses as the character qualities inherent in his name</w:t>
      </w:r>
      <w:r w:rsidR="00D32D02">
        <w:t xml:space="preserve">. </w:t>
      </w:r>
      <w:r>
        <w:t>After proclaiming his glory to Moses in the form of his name, God re-establishes covenant with Israel. Moses then leads the people in the construction of the holy tabernacle</w:t>
      </w:r>
      <w:r w:rsidR="00D32D02">
        <w:t xml:space="preserve">. </w:t>
      </w:r>
      <w:r>
        <w:t>The Exodus narrative concludes in the last paragraph with the dramatic descent of God’s shining glory onto the tabernacle as he takes up residence among his people in the form of cloud and fire.</w:t>
      </w:r>
    </w:p>
    <w:p w14:paraId="2FC8126F" w14:textId="0D3527EE" w:rsidR="00ED0A2C" w:rsidRDefault="00767399" w:rsidP="00E950D3">
      <w:pPr>
        <w:spacing w:after="0" w:line="360" w:lineRule="auto"/>
        <w:ind w:firstLine="720"/>
        <w:jc w:val="both"/>
      </w:pPr>
      <w:r>
        <w:t>Later Old Testament authors indicate the importance of the Exodus name narrative by alluding to Exodus 34:6 in order to communicate the character of God</w:t>
      </w:r>
      <w:r w:rsidR="00D32D02">
        <w:t xml:space="preserve">. </w:t>
      </w:r>
      <w:r>
        <w:t>In a song extoling the Lord as King, David declares, “The Lord is gracious and merciful; slow to anger and great in lovingkindness” (Psalm 145:8)</w:t>
      </w:r>
      <w:r w:rsidR="00D32D02">
        <w:t xml:space="preserve">. </w:t>
      </w:r>
      <w:r>
        <w:t xml:space="preserve">David also refers to the gracious name of the Lord to begin a song </w:t>
      </w:r>
      <w:r w:rsidR="0046262D">
        <w:t xml:space="preserve">of </w:t>
      </w:r>
      <w:r>
        <w:t>confession, “Be gracious to me, O God, according to your lovingkindness, according to the greatness of your compassion blot out my transgressions” (Psalm 51:1)</w:t>
      </w:r>
      <w:r w:rsidR="00D32D02">
        <w:t xml:space="preserve">. </w:t>
      </w:r>
      <w:r>
        <w:t>Jonah produces an ironic allusion to Exodus 34:6 as a complaint that God might forgive Israel’s enemies, saying, “for I knew that you are a gracious and compassionate God, slow to anger and abundant in lovingkindness, and one who relents concerning calamity” (Jonah 4:2)</w:t>
      </w:r>
      <w:r w:rsidR="00D32D02">
        <w:t xml:space="preserve">. </w:t>
      </w:r>
      <w:r>
        <w:t>These Old Testament writers display belief in God by applying to him the character qualities proclaimed in his name.</w:t>
      </w:r>
    </w:p>
    <w:p w14:paraId="63276C7A" w14:textId="77777777" w:rsidR="00552B17" w:rsidRDefault="00552B17" w:rsidP="00E950D3">
      <w:pPr>
        <w:jc w:val="both"/>
      </w:pPr>
    </w:p>
    <w:p w14:paraId="13C7B6A1" w14:textId="6DEE9D5A" w:rsidR="00767399" w:rsidRPr="00ED0A2C" w:rsidRDefault="00327331" w:rsidP="00E950D3">
      <w:pPr>
        <w:pStyle w:val="Heading1"/>
        <w:jc w:val="both"/>
        <w:rPr>
          <w:b w:val="0"/>
        </w:rPr>
      </w:pPr>
      <w:r>
        <w:rPr>
          <w:b w:val="0"/>
        </w:rPr>
        <w:t>4</w:t>
      </w:r>
      <w:r w:rsidR="00552B17">
        <w:rPr>
          <w:b w:val="0"/>
        </w:rPr>
        <w:t>.2.</w:t>
      </w:r>
      <w:r w:rsidR="002438E6">
        <w:rPr>
          <w:b w:val="0"/>
        </w:rPr>
        <w:t xml:space="preserve"> Glory and the Name of Jesus</w:t>
      </w:r>
    </w:p>
    <w:p w14:paraId="6FB5EB98" w14:textId="6651E7CC" w:rsidR="00767399" w:rsidRDefault="002438E6" w:rsidP="00E950D3">
      <w:pPr>
        <w:spacing w:after="0" w:line="360" w:lineRule="auto"/>
        <w:ind w:firstLine="720"/>
        <w:jc w:val="both"/>
      </w:pPr>
      <w:r>
        <w:t xml:space="preserve">After referring to belief in Jesus’ name, </w:t>
      </w:r>
      <w:r w:rsidR="00C9177A">
        <w:t>John establishes clear links to the name narrative</w:t>
      </w:r>
      <w:r>
        <w:t xml:space="preserve"> in Exodus</w:t>
      </w:r>
      <w:r w:rsidR="00C9177A">
        <w:t xml:space="preserve"> through</w:t>
      </w:r>
      <w:r w:rsidR="00767399">
        <w:t xml:space="preserve"> three allusions</w:t>
      </w:r>
      <w:r w:rsidR="00C9177A">
        <w:t xml:space="preserve"> in 1:14</w:t>
      </w:r>
      <w:r w:rsidR="00D32D02">
        <w:t xml:space="preserve">. </w:t>
      </w:r>
      <w:r w:rsidR="00767399">
        <w:t xml:space="preserve">The first allusion comes from </w:t>
      </w:r>
      <w:r w:rsidR="00767399">
        <w:lastRenderedPageBreak/>
        <w:t>John’s curious choice of the word σ</w:t>
      </w:r>
      <w:r w:rsidR="00767399">
        <w:rPr>
          <w:rFonts w:ascii="Gentium" w:hAnsi="Gentium"/>
          <w:lang w:val="el-GR"/>
        </w:rPr>
        <w:t xml:space="preserve">κηνόω </w:t>
      </w:r>
      <w:r w:rsidR="00767399">
        <w:t>which means to dwell or take up residence and is derived from the Greek word for tent.</w:t>
      </w:r>
      <w:r w:rsidR="00767399">
        <w:rPr>
          <w:vertAlign w:val="superscript"/>
        </w:rPr>
        <w:footnoteReference w:id="24"/>
      </w:r>
      <w:r w:rsidR="00767399">
        <w:t xml:space="preserve"> The word is not common in the New Testament, being used only three other times</w:t>
      </w:r>
      <w:r w:rsidR="00D32D02">
        <w:t>.</w:t>
      </w:r>
      <w:r w:rsidR="00281525">
        <w:t xml:space="preserve"> </w:t>
      </w:r>
      <w:r w:rsidR="00552B17">
        <w:t>To dwell in a tent is suggestive of God’s choice to dwell in the tabernacle.</w:t>
      </w:r>
      <w:r w:rsidR="00D32D02">
        <w:t xml:space="preserve"> </w:t>
      </w:r>
      <w:r w:rsidR="00767399">
        <w:t>Second, John claims direct</w:t>
      </w:r>
      <w:r w:rsidR="00552B17">
        <w:t xml:space="preserve">ly that “we beheld his glory.” </w:t>
      </w:r>
      <w:r w:rsidR="00767399">
        <w:t xml:space="preserve">Third, John says this glory is full of “grace and truth,” appropriately translating the Hebrew for “lovingkindness and truth” </w:t>
      </w:r>
      <w:r>
        <w:t xml:space="preserve">found </w:t>
      </w:r>
      <w:r w:rsidR="00767399">
        <w:t>in Exodus 34:6.</w:t>
      </w:r>
      <w:r w:rsidR="00767399">
        <w:rPr>
          <w:rStyle w:val="FootnoteReference"/>
        </w:rPr>
        <w:footnoteReference w:id="25"/>
      </w:r>
      <w:r w:rsidR="00281525">
        <w:t xml:space="preserve"> </w:t>
      </w:r>
      <w:r w:rsidR="0053696C">
        <w:t>Reference to law and Moses in John 1:17 and the comment in 1:18 that “no man has seen God at any time,”</w:t>
      </w:r>
      <w:r w:rsidR="0053696C">
        <w:rPr>
          <w:rStyle w:val="FootnoteReference"/>
        </w:rPr>
        <w:footnoteReference w:id="26"/>
      </w:r>
      <w:r w:rsidR="0053696C">
        <w:t xml:space="preserve"> </w:t>
      </w:r>
      <w:r w:rsidR="00DC2466">
        <w:t>solidify</w:t>
      </w:r>
      <w:r w:rsidR="0053696C">
        <w:t xml:space="preserve"> the author’s intention t</w:t>
      </w:r>
      <w:r w:rsidR="00DC2466">
        <w:t>o use the background context of Exodus in developing the glory of Jesus</w:t>
      </w:r>
      <w:r w:rsidR="0053696C">
        <w:t xml:space="preserve">. </w:t>
      </w:r>
      <w:r w:rsidR="00DC2466">
        <w:t>The allusion</w:t>
      </w:r>
      <w:r w:rsidR="00767399">
        <w:t xml:space="preserve"> </w:t>
      </w:r>
      <w:r w:rsidR="0053696C">
        <w:t>paint</w:t>
      </w:r>
      <w:r w:rsidR="00DC2466">
        <w:t>s</w:t>
      </w:r>
      <w:r w:rsidR="00171F83">
        <w:t xml:space="preserve"> in </w:t>
      </w:r>
      <w:r>
        <w:t>the background</w:t>
      </w:r>
      <w:r w:rsidR="00171F83">
        <w:t xml:space="preserve"> God’s </w:t>
      </w:r>
      <w:r w:rsidR="0053696C">
        <w:t>gracious agree</w:t>
      </w:r>
      <w:r w:rsidR="00171F83">
        <w:t>ment</w:t>
      </w:r>
      <w:r w:rsidR="0053696C">
        <w:t xml:space="preserve"> to rein</w:t>
      </w:r>
      <w:r w:rsidR="00267650">
        <w:t>state covenant with Israel, the revelation of</w:t>
      </w:r>
      <w:r w:rsidR="0053696C">
        <w:t xml:space="preserve"> his glory to Moses through the declaration of his name</w:t>
      </w:r>
      <w:r w:rsidR="00267650">
        <w:t>, and his</w:t>
      </w:r>
      <w:r w:rsidR="0053696C">
        <w:t xml:space="preserve"> climatic dwelling among</w:t>
      </w:r>
      <w:r w:rsidR="00267650">
        <w:t xml:space="preserve"> Israel</w:t>
      </w:r>
      <w:r w:rsidR="00767399">
        <w:t xml:space="preserve"> in the holy tabernacle</w:t>
      </w:r>
      <w:r w:rsidR="00D32D02">
        <w:t xml:space="preserve">. </w:t>
      </w:r>
    </w:p>
    <w:p w14:paraId="799DE405" w14:textId="0BCDA962" w:rsidR="002438E6" w:rsidRDefault="00767399" w:rsidP="00E950D3">
      <w:pPr>
        <w:spacing w:after="0" w:line="360" w:lineRule="auto"/>
        <w:ind w:firstLine="720"/>
        <w:jc w:val="both"/>
      </w:pPr>
      <w:r>
        <w:t>John initiates a striking comparison and contrast</w:t>
      </w:r>
      <w:r w:rsidR="003738A4">
        <w:t xml:space="preserve"> between the way glory came to Moses and how glory comes through Jesus Christ</w:t>
      </w:r>
      <w:r w:rsidR="00D32D02">
        <w:t xml:space="preserve">. </w:t>
      </w:r>
      <w:r w:rsidR="00E33A80">
        <w:t>The reference to glory, appearing first in C’, is beheld in the word who has been made flesh</w:t>
      </w:r>
      <w:r w:rsidR="00D32D02">
        <w:t xml:space="preserve">. </w:t>
      </w:r>
      <w:r w:rsidR="00E33A80">
        <w:t>God did not come in the flesh to Moses</w:t>
      </w:r>
      <w:r w:rsidR="00D32D02">
        <w:t xml:space="preserve">. </w:t>
      </w:r>
      <w:r>
        <w:t xml:space="preserve">God </w:t>
      </w:r>
      <w:r w:rsidR="002A1FCD">
        <w:t>spoke his glory to Moses after assuring Moses, “You cannot see My face,</w:t>
      </w:r>
      <w:r w:rsidR="00281525">
        <w:t xml:space="preserve"> for no man can see Me and live</w:t>
      </w:r>
      <w:r w:rsidR="002A1FCD">
        <w:t>” (Exodus 33:20)</w:t>
      </w:r>
      <w:r w:rsidR="00D32D02">
        <w:t xml:space="preserve">. </w:t>
      </w:r>
      <w:r>
        <w:t xml:space="preserve">But now the word has become </w:t>
      </w:r>
      <w:r w:rsidR="00E33A80">
        <w:t>human</w:t>
      </w:r>
      <w:r>
        <w:t>, making it possible</w:t>
      </w:r>
      <w:r w:rsidR="00E33A80">
        <w:t xml:space="preserve"> for people</w:t>
      </w:r>
      <w:r>
        <w:t xml:space="preserve"> to see God’s glory in the life of Jesus</w:t>
      </w:r>
      <w:r w:rsidR="00D32D02">
        <w:t xml:space="preserve">. </w:t>
      </w:r>
      <w:r w:rsidR="00E33A80">
        <w:t>In B’, the witness of John the Baptist does not use the word glory, but does attribute glory status to Jesus Christ, proclaiming, “He who comes after me has a higher rank than I” (John 1:15)</w:t>
      </w:r>
      <w:r w:rsidR="00D32D02">
        <w:t xml:space="preserve">. </w:t>
      </w:r>
      <w:proofErr w:type="gramStart"/>
      <w:r w:rsidR="00267650">
        <w:t>Likewise</w:t>
      </w:r>
      <w:proofErr w:type="gramEnd"/>
      <w:r w:rsidR="00267650">
        <w:t xml:space="preserve"> </w:t>
      </w:r>
      <w:r w:rsidR="002438E6">
        <w:t xml:space="preserve">though </w:t>
      </w:r>
      <w:r w:rsidR="00E33A80">
        <w:t>John does not return to the word glory</w:t>
      </w:r>
      <w:r w:rsidR="00267650">
        <w:t xml:space="preserve"> in A’ </w:t>
      </w:r>
      <w:r w:rsidR="002438E6">
        <w:t xml:space="preserve">he </w:t>
      </w:r>
      <w:r w:rsidR="00267650">
        <w:t>does</w:t>
      </w:r>
      <w:r w:rsidR="00E33A80">
        <w:t xml:space="preserve"> communicate the glory name of Jesus in two different ways</w:t>
      </w:r>
      <w:r w:rsidR="00D32D02">
        <w:t xml:space="preserve">. </w:t>
      </w:r>
      <w:r w:rsidR="00E07EC7">
        <w:t>“Grace for grac</w:t>
      </w:r>
      <w:r w:rsidR="002A1FCD">
        <w:t>e” in John 1:16 communicates contrast</w:t>
      </w:r>
      <w:r w:rsidR="00D32D02">
        <w:t xml:space="preserve">. </w:t>
      </w:r>
      <w:r w:rsidR="00E07EC7">
        <w:t>One grace has given away or been replaced by another grace.</w:t>
      </w:r>
      <w:r w:rsidR="00E07EC7" w:rsidRPr="00E07EC7">
        <w:rPr>
          <w:rStyle w:val="FootnoteReference"/>
        </w:rPr>
        <w:t xml:space="preserve"> </w:t>
      </w:r>
      <w:r w:rsidR="00E07EC7">
        <w:rPr>
          <w:rStyle w:val="FootnoteReference"/>
        </w:rPr>
        <w:footnoteReference w:id="27"/>
      </w:r>
      <w:r w:rsidR="00E07EC7">
        <w:t xml:space="preserve"> The grace shown to Israel and declared to Moses has given away to the grace that is now realized in the superior revelation of Jesus Christ made flesh</w:t>
      </w:r>
      <w:r w:rsidR="00D32D02">
        <w:t xml:space="preserve">. </w:t>
      </w:r>
      <w:r w:rsidR="00E07EC7">
        <w:t xml:space="preserve">Jesus’ glory is beheld as the one through whom “grace and truth were realized” (John 1:17), or in other </w:t>
      </w:r>
      <w:r w:rsidR="00E07EC7">
        <w:lastRenderedPageBreak/>
        <w:t>words, as the one in whom the name of God was realized</w:t>
      </w:r>
      <w:r w:rsidR="00D32D02">
        <w:t xml:space="preserve">. </w:t>
      </w:r>
      <w:r w:rsidR="002438E6">
        <w:t>God spoke his glory to Moses, but John claims to have seen God’s glory in the flesh.</w:t>
      </w:r>
    </w:p>
    <w:p w14:paraId="4C7291DD" w14:textId="2E1A743E" w:rsidR="00327331" w:rsidRDefault="00E07EC7" w:rsidP="00E950D3">
      <w:pPr>
        <w:spacing w:after="0" w:line="360" w:lineRule="auto"/>
        <w:ind w:firstLine="720"/>
        <w:jc w:val="both"/>
      </w:pPr>
      <w:r>
        <w:t>The second attribution of the glory name</w:t>
      </w:r>
      <w:r w:rsidR="0046262D">
        <w:t xml:space="preserve"> in A’</w:t>
      </w:r>
      <w:r>
        <w:t xml:space="preserve"> </w:t>
      </w:r>
      <w:r w:rsidR="002438E6">
        <w:t>comes through the proclamation</w:t>
      </w:r>
      <w:r>
        <w:t xml:space="preserve"> of the name Jesus Christ</w:t>
      </w:r>
      <w:r w:rsidR="002438E6">
        <w:t xml:space="preserve">. </w:t>
      </w:r>
      <w:r w:rsidR="00767399">
        <w:t>The naming of J</w:t>
      </w:r>
      <w:r w:rsidR="00D71A07">
        <w:t xml:space="preserve">esus Christ in </w:t>
      </w:r>
      <w:r w:rsidR="002A1FCD">
        <w:t xml:space="preserve">John </w:t>
      </w:r>
      <w:r w:rsidR="00D71A07">
        <w:t>1:17 carries significance</w:t>
      </w:r>
      <w:r w:rsidR="002A1FCD">
        <w:t xml:space="preserve"> beyond mere identification of a certain individual</w:t>
      </w:r>
      <w:r w:rsidR="00D32D02">
        <w:t xml:space="preserve">. </w:t>
      </w:r>
      <w:r w:rsidR="00767399">
        <w:t>The name Jesus means “Yahweh saves.”</w:t>
      </w:r>
      <w:r w:rsidR="00767399">
        <w:rPr>
          <w:rStyle w:val="FootnoteReference"/>
        </w:rPr>
        <w:footnoteReference w:id="28"/>
      </w:r>
      <w:r w:rsidR="009C239C">
        <w:t xml:space="preserve"> </w:t>
      </w:r>
      <w:r w:rsidR="002438E6">
        <w:t>The label Christ is</w:t>
      </w:r>
      <w:r w:rsidR="00767399">
        <w:t xml:space="preserve"> the Greek translation of the Hebrew word Messiah or anointed one.</w:t>
      </w:r>
      <w:r w:rsidR="009C239C">
        <w:rPr>
          <w:rStyle w:val="FootnoteReference"/>
        </w:rPr>
        <w:footnoteReference w:id="29"/>
      </w:r>
      <w:r w:rsidR="00767399">
        <w:t xml:space="preserve"> The Messia</w:t>
      </w:r>
      <w:r w:rsidR="002A1FCD">
        <w:t>h is the King who would come</w:t>
      </w:r>
      <w:r w:rsidR="00D32D02">
        <w:t xml:space="preserve">. </w:t>
      </w:r>
      <w:r w:rsidR="002A1FCD">
        <w:t>So, t</w:t>
      </w:r>
      <w:r w:rsidR="00767399">
        <w:t xml:space="preserve">he name Jesus Christ </w:t>
      </w:r>
      <w:r w:rsidR="009C239C">
        <w:t>means something like</w:t>
      </w:r>
      <w:r w:rsidR="00767399">
        <w:t xml:space="preserve"> “The King through whom Yahweh saves.”</w:t>
      </w:r>
      <w:r w:rsidR="009C239C">
        <w:t xml:space="preserve"> Glory is rightly attributed to a king, especially to a king wit</w:t>
      </w:r>
      <w:r w:rsidR="006D52BB">
        <w:t>h the power to save</w:t>
      </w:r>
      <w:r w:rsidR="00D32D02">
        <w:t xml:space="preserve">. </w:t>
      </w:r>
      <w:r w:rsidR="009C239C">
        <w:t>Jesus is declared the King of Israel in his first encounter with N</w:t>
      </w:r>
      <w:r w:rsidR="006D52BB">
        <w:t>athanael in John 1:49 and, by the ironic insistence of Pilate, he is proclaimed the King of the Jews at</w:t>
      </w:r>
      <w:r w:rsidR="00D71A07">
        <w:t xml:space="preserve"> his c</w:t>
      </w:r>
      <w:r w:rsidR="002A1FCD">
        <w:t>rucifixion in John 19:19</w:t>
      </w:r>
      <w:r w:rsidR="00D32D02">
        <w:t xml:space="preserve">. </w:t>
      </w:r>
      <w:r w:rsidR="00D71A07">
        <w:t>The word glory reo</w:t>
      </w:r>
      <w:r w:rsidR="002A1FCD">
        <w:t>ccurs nineteen times in</w:t>
      </w:r>
      <w:r w:rsidR="00D71A07">
        <w:t xml:space="preserve"> the gospel</w:t>
      </w:r>
      <w:r w:rsidR="002A1FCD">
        <w:t xml:space="preserve"> text</w:t>
      </w:r>
      <w:r w:rsidR="00D32D02">
        <w:t xml:space="preserve">. </w:t>
      </w:r>
      <w:r w:rsidR="00D71A07">
        <w:t>The first occurrence after the prologue comes when Jesus performs his first sign, turning water into wine</w:t>
      </w:r>
      <w:r w:rsidR="00D32D02">
        <w:t xml:space="preserve">. </w:t>
      </w:r>
      <w:r w:rsidR="00D71A07">
        <w:t>Jesus is said to have manifested his glory</w:t>
      </w:r>
      <w:r w:rsidR="00D52F26">
        <w:t xml:space="preserve"> (John 2:11)</w:t>
      </w:r>
      <w:r w:rsidR="00D32D02">
        <w:t xml:space="preserve">. </w:t>
      </w:r>
      <w:r w:rsidR="00D71A07">
        <w:t>Glory appears again in connection to a miracle with the raising of Lazarus</w:t>
      </w:r>
      <w:r w:rsidR="00D32D02">
        <w:t xml:space="preserve">. </w:t>
      </w:r>
      <w:r w:rsidR="00D71A07">
        <w:t xml:space="preserve">In an ironic moment, religious leaders challenge the blind man healed by Jesus in chapter 9 to give glory by rejecting the Jesus who had healed him, saying, “Give </w:t>
      </w:r>
      <w:r w:rsidR="00D71A07" w:rsidRPr="00D71A07">
        <w:t>glory</w:t>
      </w:r>
      <w:r w:rsidR="00D71A07">
        <w:t xml:space="preserve"> to God; we know that this man is a sinner” (John 9:24)</w:t>
      </w:r>
      <w:r w:rsidR="00D32D02">
        <w:t xml:space="preserve">. </w:t>
      </w:r>
      <w:r w:rsidR="00D71A07">
        <w:t xml:space="preserve">In a chapter that bridges the end of Jesus’ public ministry and begins </w:t>
      </w:r>
      <w:r w:rsidR="00C932B0">
        <w:t xml:space="preserve">the week of his passion, glory </w:t>
      </w:r>
      <w:proofErr w:type="gramStart"/>
      <w:r w:rsidR="00C932B0">
        <w:t>is connected with</w:t>
      </w:r>
      <w:proofErr w:type="gramEnd"/>
      <w:r w:rsidR="00C932B0">
        <w:t xml:space="preserve"> his death as the hour “for the Son of Man to be glorified” (John 12:23)</w:t>
      </w:r>
      <w:r w:rsidR="00D32D02">
        <w:t xml:space="preserve">. </w:t>
      </w:r>
      <w:r w:rsidR="00C932B0">
        <w:t>This same dialogue connects the idea of glory with the idea of Jesus being lifted up (John 12:32).</w:t>
      </w:r>
      <w:r w:rsidR="00C932B0">
        <w:rPr>
          <w:rStyle w:val="FootnoteReference"/>
        </w:rPr>
        <w:footnoteReference w:id="30"/>
      </w:r>
      <w:r w:rsidR="002A1FCD">
        <w:t xml:space="preserve"> The phrase</w:t>
      </w:r>
      <w:r w:rsidR="00C932B0">
        <w:t xml:space="preserve"> </w:t>
      </w:r>
      <w:r w:rsidR="002A1FCD">
        <w:t>“</w:t>
      </w:r>
      <w:r w:rsidR="00C932B0">
        <w:t>lifted up</w:t>
      </w:r>
      <w:r w:rsidR="002A1FCD">
        <w:t>”</w:t>
      </w:r>
      <w:r w:rsidR="00C932B0">
        <w:t xml:space="preserve"> connects the glory due Jesus as a king with the irony that he will not be lifted up in glorious recog</w:t>
      </w:r>
      <w:r w:rsidR="002A1FCD">
        <w:t xml:space="preserve">nition, but </w:t>
      </w:r>
      <w:r w:rsidR="00C932B0">
        <w:t xml:space="preserve">lifted up </w:t>
      </w:r>
      <w:r w:rsidR="002A1FCD">
        <w:t xml:space="preserve">physically </w:t>
      </w:r>
      <w:r w:rsidR="00C932B0">
        <w:t>in shame on a cross</w:t>
      </w:r>
      <w:r w:rsidR="00D32D02">
        <w:t xml:space="preserve">. </w:t>
      </w:r>
      <w:r w:rsidR="00DE782E">
        <w:t>And yet, the hour of his shame is also</w:t>
      </w:r>
      <w:r w:rsidR="002A1FCD">
        <w:t xml:space="preserve"> called</w:t>
      </w:r>
      <w:r w:rsidR="00DE782E">
        <w:t xml:space="preserve"> the hour of his glory, when the nature of the God </w:t>
      </w:r>
      <w:r w:rsidR="002A1FCD">
        <w:t xml:space="preserve">of </w:t>
      </w:r>
      <w:r w:rsidR="00DE782E">
        <w:t>grace and truth is supremely displayed</w:t>
      </w:r>
      <w:r w:rsidR="00D32D02">
        <w:t xml:space="preserve">. </w:t>
      </w:r>
      <w:r w:rsidR="00DE782E">
        <w:t>Jesus Christ, as the King who saves, is also the king who dies</w:t>
      </w:r>
      <w:r w:rsidR="00D32D02">
        <w:t xml:space="preserve">. </w:t>
      </w:r>
      <w:r w:rsidR="00046B97">
        <w:t>John does not indicate in the prologue</w:t>
      </w:r>
      <w:r w:rsidR="00DE782E">
        <w:t xml:space="preserve"> that the grace of Jesus leads</w:t>
      </w:r>
      <w:r w:rsidR="00046B97">
        <w:t xml:space="preserve"> to death, being content initially to establish Jesus’</w:t>
      </w:r>
      <w:r w:rsidR="00716536">
        <w:t xml:space="preserve"> name as</w:t>
      </w:r>
      <w:r w:rsidR="002A1FCD">
        <w:t xml:space="preserve"> “grace and truth” and</w:t>
      </w:r>
      <w:r w:rsidR="0046262D">
        <w:t xml:space="preserve"> as</w:t>
      </w:r>
      <w:r w:rsidR="002A1FCD">
        <w:t xml:space="preserve"> “</w:t>
      </w:r>
      <w:r w:rsidR="00716536">
        <w:t>the K</w:t>
      </w:r>
      <w:r w:rsidR="002A1FCD">
        <w:t xml:space="preserve">ing through </w:t>
      </w:r>
      <w:r w:rsidR="00046B97">
        <w:lastRenderedPageBreak/>
        <w:t>whom Yahweh saves,</w:t>
      </w:r>
      <w:r w:rsidR="00716536">
        <w:t>”</w:t>
      </w:r>
      <w:r w:rsidR="00046B97">
        <w:t xml:space="preserve"> without indicating the sacrifice that must be made to bring about the kind of salvation this king brings.</w:t>
      </w:r>
    </w:p>
    <w:p w14:paraId="56089FFA" w14:textId="77777777" w:rsidR="00327331" w:rsidRDefault="00327331" w:rsidP="00E950D3">
      <w:pPr>
        <w:spacing w:after="0" w:line="360" w:lineRule="auto"/>
        <w:ind w:firstLine="720"/>
        <w:jc w:val="both"/>
      </w:pPr>
    </w:p>
    <w:p w14:paraId="4D47EE49" w14:textId="5B8D3D6F" w:rsidR="00327331" w:rsidRDefault="00327331" w:rsidP="00327331">
      <w:pPr>
        <w:spacing w:after="0" w:line="360" w:lineRule="auto"/>
        <w:jc w:val="both"/>
      </w:pPr>
      <w:r>
        <w:t>5. Conclusion</w:t>
      </w:r>
    </w:p>
    <w:p w14:paraId="0CB873D5" w14:textId="4971515C" w:rsidR="00B30551" w:rsidRDefault="00C73B57" w:rsidP="00E950D3">
      <w:pPr>
        <w:spacing w:after="0" w:line="360" w:lineRule="auto"/>
        <w:ind w:firstLine="720"/>
        <w:jc w:val="both"/>
      </w:pPr>
      <w:r>
        <w:t xml:space="preserve">The prologue </w:t>
      </w:r>
      <w:r w:rsidR="00716536">
        <w:t>of John artistically sets up the author’s</w:t>
      </w:r>
      <w:r>
        <w:t xml:space="preserve"> agenda with a chiastic st</w:t>
      </w:r>
      <w:r w:rsidR="00716536">
        <w:t>ructure that lies hidden</w:t>
      </w:r>
      <w:r>
        <w:t xml:space="preserve"> like the beams of a house</w:t>
      </w:r>
      <w:r w:rsidR="00D32D02">
        <w:t xml:space="preserve">. </w:t>
      </w:r>
      <w:r>
        <w:t>As Culpepper observes, “To have made the chiastic structure more explicit would necessarily have made it more artificial.”</w:t>
      </w:r>
      <w:r>
        <w:rPr>
          <w:rStyle w:val="FootnoteReference"/>
        </w:rPr>
        <w:footnoteReference w:id="31"/>
      </w:r>
      <w:r w:rsidR="00D02153">
        <w:t xml:space="preserve"> S</w:t>
      </w:r>
      <w:r>
        <w:t xml:space="preserve">killfully </w:t>
      </w:r>
      <w:r w:rsidR="00D02153">
        <w:t>weaving</w:t>
      </w:r>
      <w:r>
        <w:t xml:space="preserve"> together </w:t>
      </w:r>
      <w:r w:rsidR="0046262D">
        <w:t>the New Covenant revelation of Jesus Christ</w:t>
      </w:r>
      <w:r>
        <w:t xml:space="preserve"> through allusion to a rich Old Covenant context </w:t>
      </w:r>
      <w:r w:rsidR="00D02153">
        <w:t xml:space="preserve">the author highlights the deity and incarnation of Jesus </w:t>
      </w:r>
      <w:r>
        <w:t xml:space="preserve">without artificially </w:t>
      </w:r>
      <w:r w:rsidR="00D02153">
        <w:t>drawing attention to the carefully crafted structure of his text.</w:t>
      </w:r>
      <w:r>
        <w:t xml:space="preserve"> Re</w:t>
      </w:r>
      <w:r w:rsidR="00716536">
        <w:t xml:space="preserve">cognition of the structure </w:t>
      </w:r>
      <w:r>
        <w:t>serves to focus and develop themes</w:t>
      </w:r>
      <w:r w:rsidR="00D02153">
        <w:t xml:space="preserve"> already apparent</w:t>
      </w:r>
      <w:r w:rsidR="00D32D02">
        <w:t xml:space="preserve">. </w:t>
      </w:r>
      <w:r w:rsidR="00EA5611">
        <w:t>John will address each of these</w:t>
      </w:r>
      <w:r w:rsidR="00D02153">
        <w:t xml:space="preserve"> interrelated concerns, emphasized by the structure,</w:t>
      </w:r>
      <w:r w:rsidR="00650F09">
        <w:t xml:space="preserve"> </w:t>
      </w:r>
      <w:r w:rsidR="00B30551">
        <w:t>in the gospel: (1) the nature of Jesus, (2) the revelatory role of Jesus, (3) the human mode of Jesus’ work to reveal, (4) the response of people to Jesus and (5) the result of responding to Jesus either negatively or positively</w:t>
      </w:r>
      <w:r w:rsidR="00D32D02">
        <w:t xml:space="preserve">. </w:t>
      </w:r>
      <w:r w:rsidR="00B30551">
        <w:t xml:space="preserve">Recognition of these concerns in the prologue suggests the profitability </w:t>
      </w:r>
      <w:r w:rsidR="00D02153">
        <w:t>of studying each theme further through the</w:t>
      </w:r>
      <w:r w:rsidR="00716536">
        <w:t xml:space="preserve"> rest of the work</w:t>
      </w:r>
      <w:r w:rsidR="00D32D02">
        <w:t xml:space="preserve">. </w:t>
      </w:r>
      <w:r w:rsidR="00716536">
        <w:t>Such f</w:t>
      </w:r>
      <w:r w:rsidR="007624B6">
        <w:t>urther study will encounter a genre shift</w:t>
      </w:r>
      <w:r w:rsidR="00D32D02">
        <w:t xml:space="preserve">. </w:t>
      </w:r>
      <w:r w:rsidR="007624B6">
        <w:t>The</w:t>
      </w:r>
      <w:r w:rsidR="00272C25">
        <w:t xml:space="preserve"> didactic nature of the prologue</w:t>
      </w:r>
      <w:r w:rsidR="007624B6">
        <w:t xml:space="preserve"> which sets up the author’s concerns</w:t>
      </w:r>
      <w:r w:rsidR="00D02153">
        <w:t xml:space="preserve"> gives way in</w:t>
      </w:r>
      <w:r w:rsidR="007624B6">
        <w:t xml:space="preserve"> John 1:19 to a</w:t>
      </w:r>
      <w:r w:rsidR="00272C25">
        <w:t xml:space="preserve"> narrative </w:t>
      </w:r>
      <w:r w:rsidR="00D02153">
        <w:t>style of journey, miracles</w:t>
      </w:r>
      <w:r w:rsidR="00272C25">
        <w:t>, speeches</w:t>
      </w:r>
      <w:r w:rsidR="00D02153">
        <w:t>, feasts</w:t>
      </w:r>
      <w:r w:rsidR="00272C25">
        <w:t xml:space="preserve"> and dialogue</w:t>
      </w:r>
      <w:r w:rsidR="00D32D02">
        <w:t xml:space="preserve">. </w:t>
      </w:r>
      <w:r w:rsidR="00D02153">
        <w:t>Just</w:t>
      </w:r>
      <w:r w:rsidR="00272C25">
        <w:t xml:space="preserve"> as Jesus is represented as word and light in the prologue, the reader is </w:t>
      </w:r>
      <w:r w:rsidR="00046B97">
        <w:t>invited in the gospel to hear the words of Jesus and to see his</w:t>
      </w:r>
      <w:r w:rsidR="00272C25">
        <w:t xml:space="preserve"> acts</w:t>
      </w:r>
      <w:r w:rsidR="00D32D02">
        <w:t xml:space="preserve">. </w:t>
      </w:r>
      <w:r w:rsidR="00046B97">
        <w:t xml:space="preserve">These acts and words of Jesus </w:t>
      </w:r>
      <w:r w:rsidR="00D02153">
        <w:t xml:space="preserve">are the witness of the author who </w:t>
      </w:r>
      <w:r w:rsidR="003A5D88">
        <w:t>intends,</w:t>
      </w:r>
      <w:r w:rsidR="00D02153">
        <w:t xml:space="preserve"> </w:t>
      </w:r>
      <w:r w:rsidR="003A5D88">
        <w:t xml:space="preserve">through </w:t>
      </w:r>
      <w:r w:rsidR="00D02153">
        <w:t>his witness</w:t>
      </w:r>
      <w:r w:rsidR="003A5D88">
        <w:t>,</w:t>
      </w:r>
      <w:r w:rsidR="00292146">
        <w:t xml:space="preserve"> </w:t>
      </w:r>
      <w:r w:rsidR="003A5D88">
        <w:t>to move readers to believe.</w:t>
      </w:r>
    </w:p>
    <w:p w14:paraId="1B40639C" w14:textId="77777777" w:rsidR="00716536" w:rsidRDefault="00716536" w:rsidP="00E950D3">
      <w:pPr>
        <w:spacing w:after="0" w:line="360" w:lineRule="auto"/>
        <w:ind w:firstLine="720"/>
        <w:jc w:val="both"/>
      </w:pPr>
    </w:p>
    <w:p w14:paraId="7802C2D4" w14:textId="77777777" w:rsidR="0028163E" w:rsidRDefault="0028163E" w:rsidP="00E950D3">
      <w:pPr>
        <w:spacing w:after="0" w:line="360" w:lineRule="auto"/>
        <w:ind w:firstLine="720"/>
        <w:jc w:val="both"/>
      </w:pPr>
    </w:p>
    <w:p w14:paraId="794A18C5" w14:textId="77777777" w:rsidR="00E950D3" w:rsidRDefault="00E950D3" w:rsidP="00E950D3">
      <w:pPr>
        <w:spacing w:after="0" w:line="360" w:lineRule="auto"/>
        <w:jc w:val="both"/>
        <w:sectPr w:rsidR="00E950D3" w:rsidSect="00E950D3">
          <w:footerReference w:type="default" r:id="rId7"/>
          <w:pgSz w:w="11907" w:h="16839" w:code="9"/>
          <w:pgMar w:top="1361" w:right="1701" w:bottom="1361" w:left="1701" w:header="709" w:footer="709" w:gutter="0"/>
          <w:cols w:space="708"/>
          <w:docGrid w:linePitch="360"/>
        </w:sectPr>
      </w:pPr>
    </w:p>
    <w:p w14:paraId="1FBBCC1B" w14:textId="02E07DE3" w:rsidR="00255C28" w:rsidRPr="00F405A9" w:rsidRDefault="00255C28" w:rsidP="00E950D3">
      <w:pPr>
        <w:spacing w:after="0" w:line="360" w:lineRule="auto"/>
        <w:jc w:val="both"/>
        <w:rPr>
          <w:sz w:val="16"/>
          <w:szCs w:val="16"/>
        </w:rPr>
      </w:pPr>
      <w:r>
        <w:lastRenderedPageBreak/>
        <w:t>Selected Bibliography</w:t>
      </w:r>
    </w:p>
    <w:p w14:paraId="2AA53D53" w14:textId="77777777" w:rsidR="00E950D3" w:rsidRPr="00F405A9" w:rsidRDefault="00E950D3" w:rsidP="00E950D3">
      <w:pPr>
        <w:spacing w:after="0" w:line="360" w:lineRule="auto"/>
        <w:jc w:val="both"/>
        <w:rPr>
          <w:sz w:val="16"/>
          <w:szCs w:val="16"/>
        </w:rPr>
      </w:pPr>
    </w:p>
    <w:p w14:paraId="0291EACC" w14:textId="77777777" w:rsidR="00F264FA" w:rsidRDefault="00255C28" w:rsidP="00E950D3">
      <w:pPr>
        <w:spacing w:after="0" w:line="360" w:lineRule="auto"/>
        <w:jc w:val="both"/>
      </w:pPr>
      <w:r>
        <w:t xml:space="preserve">1. </w:t>
      </w:r>
      <w:r w:rsidR="00F264FA" w:rsidRPr="002519B8">
        <w:t>Bauckham, Richard</w:t>
      </w:r>
      <w:r w:rsidR="00F264FA">
        <w:t xml:space="preserve">: </w:t>
      </w:r>
      <w:r w:rsidR="00F264FA" w:rsidRPr="000A3B81">
        <w:rPr>
          <w:i/>
        </w:rPr>
        <w:t>The Testimony of the Beloved Disciple</w:t>
      </w:r>
      <w:r w:rsidR="000A3B81">
        <w:rPr>
          <w:i/>
        </w:rPr>
        <w:t>: Narrative, History, and Theology in the Gospel of John.</w:t>
      </w:r>
      <w:r w:rsidR="000A3B81">
        <w:t xml:space="preserve"> </w:t>
      </w:r>
      <w:r w:rsidR="00F264FA" w:rsidRPr="002519B8">
        <w:t>Baker</w:t>
      </w:r>
      <w:r w:rsidR="000A3B81">
        <w:t xml:space="preserve"> </w:t>
      </w:r>
      <w:r w:rsidR="00F264FA" w:rsidRPr="002519B8">
        <w:t>Academic,</w:t>
      </w:r>
      <w:r w:rsidR="000A3B81">
        <w:t xml:space="preserve"> Grand Rapids, MI 2007.</w:t>
      </w:r>
    </w:p>
    <w:p w14:paraId="32E9566C" w14:textId="051F7431" w:rsidR="00FE20C1" w:rsidRDefault="00843A57" w:rsidP="00E950D3">
      <w:pPr>
        <w:spacing w:after="0" w:line="360" w:lineRule="auto"/>
        <w:jc w:val="both"/>
      </w:pPr>
      <w:r>
        <w:t xml:space="preserve">2. </w:t>
      </w:r>
      <w:r w:rsidR="00FE20C1">
        <w:t xml:space="preserve">Beasley-Murray, George R.: </w:t>
      </w:r>
      <w:r w:rsidR="00FE20C1">
        <w:rPr>
          <w:i/>
        </w:rPr>
        <w:t>World Biblical Commentary Vol. 36, John</w:t>
      </w:r>
      <w:r w:rsidR="00FB27D0">
        <w:t>.</w:t>
      </w:r>
      <w:r w:rsidR="00FE20C1">
        <w:t xml:space="preserve"> </w:t>
      </w:r>
      <w:r w:rsidR="00FB27D0">
        <w:t>Word, Inc</w:t>
      </w:r>
      <w:r w:rsidR="00657427">
        <w:t>orporated</w:t>
      </w:r>
      <w:r w:rsidR="00FB27D0">
        <w:t>, Dallas 2002.</w:t>
      </w:r>
    </w:p>
    <w:p w14:paraId="3CA53D8F" w14:textId="77777777" w:rsidR="002519B8" w:rsidRPr="00FE20C1" w:rsidRDefault="00843A57" w:rsidP="00E950D3">
      <w:pPr>
        <w:spacing w:after="0" w:line="360" w:lineRule="auto"/>
        <w:jc w:val="both"/>
      </w:pPr>
      <w:r>
        <w:t xml:space="preserve">3. </w:t>
      </w:r>
      <w:r w:rsidR="002519B8">
        <w:t xml:space="preserve">Boismard, M. E.: </w:t>
      </w:r>
      <w:r w:rsidR="002519B8">
        <w:rPr>
          <w:i/>
        </w:rPr>
        <w:t>St. John’s Prologue</w:t>
      </w:r>
      <w:r w:rsidR="002519B8">
        <w:t>, trans. Carisbrooke Dominicans. Aquin Press, London 1957.</w:t>
      </w:r>
    </w:p>
    <w:p w14:paraId="2A377D01" w14:textId="77777777" w:rsidR="002519B8" w:rsidRDefault="00843A57" w:rsidP="00E950D3">
      <w:pPr>
        <w:spacing w:after="0" w:line="360" w:lineRule="auto"/>
        <w:jc w:val="both"/>
      </w:pPr>
      <w:r>
        <w:t xml:space="preserve">4. </w:t>
      </w:r>
      <w:r w:rsidR="002519B8" w:rsidRPr="002519B8">
        <w:t>Carson,</w:t>
      </w:r>
      <w:r w:rsidR="002519B8">
        <w:t xml:space="preserve"> D. A.:</w:t>
      </w:r>
      <w:r w:rsidR="002519B8" w:rsidRPr="002519B8">
        <w:t xml:space="preserve"> </w:t>
      </w:r>
      <w:r w:rsidR="002519B8" w:rsidRPr="002519B8">
        <w:rPr>
          <w:i/>
        </w:rPr>
        <w:t>The Pillar New Testament Commentary, The Gospel According to John</w:t>
      </w:r>
      <w:r w:rsidR="002519B8">
        <w:rPr>
          <w:i/>
        </w:rPr>
        <w:t>.</w:t>
      </w:r>
      <w:r w:rsidR="002519B8">
        <w:t xml:space="preserve"> </w:t>
      </w:r>
      <w:r w:rsidR="002519B8" w:rsidRPr="002519B8">
        <w:t>Eerdmans Publishing Company,</w:t>
      </w:r>
      <w:r w:rsidR="002519B8">
        <w:t xml:space="preserve"> Grand Rapids, MI 1991</w:t>
      </w:r>
      <w:r w:rsidR="002519B8" w:rsidRPr="002519B8">
        <w:t>.</w:t>
      </w:r>
    </w:p>
    <w:p w14:paraId="2DC351FA" w14:textId="77777777" w:rsidR="00BD67AE" w:rsidRDefault="00843A57" w:rsidP="00E950D3">
      <w:pPr>
        <w:spacing w:after="0" w:line="360" w:lineRule="auto"/>
        <w:jc w:val="both"/>
      </w:pPr>
      <w:r>
        <w:t xml:space="preserve">5. </w:t>
      </w:r>
      <w:r w:rsidR="00BD67AE">
        <w:t xml:space="preserve">Cross, Frank Moore: “Prose and Poetry in the Mythic and Epic Texts from Ugarit”, </w:t>
      </w:r>
      <w:r w:rsidR="00BD67AE" w:rsidRPr="00CE4051">
        <w:rPr>
          <w:i/>
        </w:rPr>
        <w:t>The Harvard Theological Review</w:t>
      </w:r>
      <w:r w:rsidR="00BD67AE">
        <w:t>, Vol. 67, No. 1, 1-15. Cambridge University Press, Cambridge 1974.</w:t>
      </w:r>
    </w:p>
    <w:p w14:paraId="392CA9A7" w14:textId="77777777" w:rsidR="00A32B42" w:rsidRDefault="00843A57" w:rsidP="00E950D3">
      <w:pPr>
        <w:spacing w:after="0" w:line="360" w:lineRule="auto"/>
        <w:jc w:val="both"/>
      </w:pPr>
      <w:r>
        <w:t xml:space="preserve">6. </w:t>
      </w:r>
      <w:r w:rsidR="00A32B42" w:rsidRPr="00A32B42">
        <w:t>Culpepper</w:t>
      </w:r>
      <w:r w:rsidR="00A32B42">
        <w:t>, R. Alan: “The Pivot of John's Prologue”,</w:t>
      </w:r>
      <w:r w:rsidR="00A32B42" w:rsidRPr="00A32B42">
        <w:t xml:space="preserve"> </w:t>
      </w:r>
      <w:r w:rsidR="00A32B42" w:rsidRPr="00A32B42">
        <w:rPr>
          <w:i/>
        </w:rPr>
        <w:t>New Testament Studies</w:t>
      </w:r>
      <w:r w:rsidR="00A32B42" w:rsidRPr="00A32B42">
        <w:t xml:space="preserve">, </w:t>
      </w:r>
      <w:r w:rsidR="00A32B42">
        <w:t xml:space="preserve">Vol. 27, </w:t>
      </w:r>
      <w:r w:rsidR="00A32B42" w:rsidRPr="00A32B42">
        <w:t>1-31.</w:t>
      </w:r>
      <w:r w:rsidR="00A32B42">
        <w:t xml:space="preserve"> Cambridge University Press, Cambridge 1980.</w:t>
      </w:r>
    </w:p>
    <w:p w14:paraId="0175509A" w14:textId="77777777" w:rsidR="003F181A" w:rsidRDefault="00843A57" w:rsidP="00E950D3">
      <w:pPr>
        <w:spacing w:after="0" w:line="360" w:lineRule="auto"/>
        <w:jc w:val="both"/>
      </w:pPr>
      <w:r>
        <w:t xml:space="preserve">7. </w:t>
      </w:r>
      <w:r w:rsidR="003F181A">
        <w:t xml:space="preserve">Evans, Craig A.: </w:t>
      </w:r>
      <w:r w:rsidR="003F181A">
        <w:rPr>
          <w:i/>
        </w:rPr>
        <w:t>Word and Glory: On the Exegetical and Theological Background of John’s Prologue</w:t>
      </w:r>
      <w:r w:rsidR="003F181A">
        <w:t>. Sheffield Academic Press, Sheffield, England 1993.</w:t>
      </w:r>
    </w:p>
    <w:p w14:paraId="0CA1CAC3" w14:textId="77ACBC1A" w:rsidR="00D81F08" w:rsidRPr="00D81F08" w:rsidRDefault="00843A57" w:rsidP="00E950D3">
      <w:pPr>
        <w:spacing w:after="0" w:line="360" w:lineRule="auto"/>
        <w:jc w:val="both"/>
      </w:pPr>
      <w:r>
        <w:t xml:space="preserve">8. </w:t>
      </w:r>
      <w:r w:rsidR="00D81F08">
        <w:t xml:space="preserve">Gordley, Matthew E.: “The Johannine Prologue and Jewish Didactic Hymn Traditions: A New Case for Reading the Prologue as a Hymn”, </w:t>
      </w:r>
      <w:r w:rsidR="00D81F08">
        <w:rPr>
          <w:i/>
        </w:rPr>
        <w:t>Journal of Biblical Literature</w:t>
      </w:r>
      <w:r w:rsidR="00FA2762">
        <w:rPr>
          <w:i/>
        </w:rPr>
        <w:t>,</w:t>
      </w:r>
      <w:r w:rsidR="00D81F08">
        <w:rPr>
          <w:i/>
        </w:rPr>
        <w:t xml:space="preserve"> </w:t>
      </w:r>
      <w:r w:rsidR="00D81F08" w:rsidRPr="00D8347A">
        <w:t>Vol. 128, No. 4</w:t>
      </w:r>
      <w:r w:rsidR="00FA2762">
        <w:t>, 781-802</w:t>
      </w:r>
      <w:r w:rsidR="00D81F08">
        <w:rPr>
          <w:i/>
        </w:rPr>
        <w:t>.</w:t>
      </w:r>
      <w:r w:rsidR="00D81F08">
        <w:t xml:space="preserve"> Society of Biblical Literature, Atlanta 2009.</w:t>
      </w:r>
    </w:p>
    <w:p w14:paraId="35EC51C4" w14:textId="5B9CCAFB" w:rsidR="00C8655A" w:rsidRDefault="00843A57" w:rsidP="00E950D3">
      <w:pPr>
        <w:spacing w:after="0" w:line="360" w:lineRule="auto"/>
        <w:jc w:val="both"/>
      </w:pPr>
      <w:r>
        <w:t xml:space="preserve">9. </w:t>
      </w:r>
      <w:r w:rsidR="00C8655A">
        <w:t xml:space="preserve">Harris, Elizabeth: </w:t>
      </w:r>
      <w:r w:rsidR="00C8655A">
        <w:rPr>
          <w:i/>
        </w:rPr>
        <w:t xml:space="preserve">Prologue and Gospel: The Theology of the Fourth Evangelist. </w:t>
      </w:r>
      <w:r w:rsidR="00C8655A">
        <w:t>Sheffield Academic Press, Sheffield, England 1994.</w:t>
      </w:r>
    </w:p>
    <w:p w14:paraId="460990A6" w14:textId="22B93DBD" w:rsidR="0056550C" w:rsidRDefault="00843A57" w:rsidP="00E950D3">
      <w:pPr>
        <w:spacing w:after="0" w:line="360" w:lineRule="auto"/>
        <w:jc w:val="both"/>
      </w:pPr>
      <w:r>
        <w:t xml:space="preserve">10. </w:t>
      </w:r>
      <w:r w:rsidR="0056550C" w:rsidRPr="00C8655A">
        <w:t>Kittel, Gerhard</w:t>
      </w:r>
      <w:r w:rsidR="00D04582">
        <w:t>;</w:t>
      </w:r>
      <w:r w:rsidR="0056550C" w:rsidRPr="00C8655A">
        <w:t xml:space="preserve"> Bromiley</w:t>
      </w:r>
      <w:r w:rsidR="0056550C">
        <w:t xml:space="preserve">, </w:t>
      </w:r>
      <w:r w:rsidR="0056550C" w:rsidRPr="00C8655A">
        <w:t>Geoffrey William</w:t>
      </w:r>
      <w:r w:rsidR="00D04582">
        <w:t>;</w:t>
      </w:r>
      <w:r w:rsidR="0056550C" w:rsidRPr="00C8655A">
        <w:t xml:space="preserve"> and Friedrich,</w:t>
      </w:r>
      <w:r w:rsidR="0056550C">
        <w:t xml:space="preserve"> </w:t>
      </w:r>
      <w:r w:rsidR="0056550C" w:rsidRPr="00C8655A">
        <w:t>Gerhard</w:t>
      </w:r>
      <w:r w:rsidR="0056550C">
        <w:t>, editors:</w:t>
      </w:r>
      <w:r w:rsidR="0056550C" w:rsidRPr="00C8655A">
        <w:rPr>
          <w:i/>
        </w:rPr>
        <w:t xml:space="preserve"> Theological Dictionary of the New Testament</w:t>
      </w:r>
      <w:r w:rsidR="0056550C">
        <w:rPr>
          <w:i/>
        </w:rPr>
        <w:t>,</w:t>
      </w:r>
      <w:r w:rsidR="0056550C" w:rsidRPr="00C8655A">
        <w:rPr>
          <w:i/>
        </w:rPr>
        <w:t xml:space="preserve"> </w:t>
      </w:r>
      <w:r w:rsidR="0056550C" w:rsidRPr="00D8347A">
        <w:t>electronic ed</w:t>
      </w:r>
      <w:r w:rsidR="00FA2762">
        <w:t>ition</w:t>
      </w:r>
      <w:r w:rsidR="0056550C" w:rsidRPr="00C8655A">
        <w:rPr>
          <w:i/>
        </w:rPr>
        <w:t>.</w:t>
      </w:r>
      <w:r w:rsidR="0056550C">
        <w:t xml:space="preserve"> </w:t>
      </w:r>
      <w:r w:rsidR="0056550C" w:rsidRPr="00C8655A">
        <w:t>Eerdmans</w:t>
      </w:r>
      <w:r w:rsidR="0056550C">
        <w:t xml:space="preserve"> Publishing Company</w:t>
      </w:r>
      <w:r w:rsidR="0056550C" w:rsidRPr="00C8655A">
        <w:t>,</w:t>
      </w:r>
      <w:r w:rsidR="0056550C">
        <w:t xml:space="preserve"> Grand Rapids, MI 1976.</w:t>
      </w:r>
    </w:p>
    <w:p w14:paraId="77FF1A8D" w14:textId="37824F81" w:rsidR="00C8655A" w:rsidRDefault="00843A57" w:rsidP="00E950D3">
      <w:pPr>
        <w:spacing w:after="0" w:line="360" w:lineRule="auto"/>
        <w:jc w:val="both"/>
      </w:pPr>
      <w:r>
        <w:t xml:space="preserve">11. </w:t>
      </w:r>
      <w:r w:rsidR="00C8655A">
        <w:t xml:space="preserve">Kostenberger, Andreas J.: </w:t>
      </w:r>
      <w:r w:rsidR="00C8655A">
        <w:rPr>
          <w:i/>
        </w:rPr>
        <w:t>Baker Exegetical Commentary on the New Testament: John</w:t>
      </w:r>
      <w:r w:rsidR="00C8655A">
        <w:t>. Bak</w:t>
      </w:r>
      <w:r w:rsidR="00281525">
        <w:t xml:space="preserve">er Academic, Grand Rapids, MI </w:t>
      </w:r>
      <w:r w:rsidR="00C8655A">
        <w:t>2004.</w:t>
      </w:r>
    </w:p>
    <w:p w14:paraId="10AA82CB" w14:textId="77777777" w:rsidR="00A32B42" w:rsidRDefault="00843A57" w:rsidP="00E950D3">
      <w:pPr>
        <w:spacing w:after="0" w:line="360" w:lineRule="auto"/>
        <w:jc w:val="both"/>
      </w:pPr>
      <w:r>
        <w:t xml:space="preserve">12. </w:t>
      </w:r>
      <w:r w:rsidR="00A32B42">
        <w:t xml:space="preserve">Lund, N. W.: “The Presence of Chiasmus in the New Testament”, </w:t>
      </w:r>
      <w:r w:rsidR="00A32B42" w:rsidRPr="00CE4051">
        <w:rPr>
          <w:i/>
        </w:rPr>
        <w:t>The Journal of Religion</w:t>
      </w:r>
      <w:r w:rsidR="00A32B42">
        <w:t>, Vol. 10, No. 1, 74-93. The University of Chicago Press, Chicago 1930.</w:t>
      </w:r>
    </w:p>
    <w:p w14:paraId="78686B0D" w14:textId="77777777" w:rsidR="003F181A" w:rsidRDefault="00843A57" w:rsidP="00E950D3">
      <w:pPr>
        <w:spacing w:after="0" w:line="360" w:lineRule="auto"/>
        <w:jc w:val="both"/>
      </w:pPr>
      <w:r>
        <w:t xml:space="preserve">13. </w:t>
      </w:r>
      <w:r w:rsidR="003F181A">
        <w:t xml:space="preserve">Morris, Leon: </w:t>
      </w:r>
      <w:r w:rsidR="003F181A">
        <w:rPr>
          <w:i/>
        </w:rPr>
        <w:t xml:space="preserve">The New International Commentary on the New Testament, The Gospel According to John. </w:t>
      </w:r>
      <w:r w:rsidR="003F181A">
        <w:t>Eerdmans Publishing Company, Grand Rapids, MI 1995.</w:t>
      </w:r>
    </w:p>
    <w:p w14:paraId="58DFD299" w14:textId="38B92F2D" w:rsidR="00A32B42" w:rsidRDefault="00843A57" w:rsidP="00E950D3">
      <w:pPr>
        <w:spacing w:after="0" w:line="360" w:lineRule="auto"/>
        <w:jc w:val="both"/>
      </w:pPr>
      <w:r>
        <w:t xml:space="preserve">14. </w:t>
      </w:r>
      <w:r w:rsidR="00C246D7">
        <w:t xml:space="preserve">Staley, Jeff: “The Structure of John’s Prologue: Its implications for the Gospel’s Narrative Structure”, </w:t>
      </w:r>
      <w:r w:rsidR="00C246D7" w:rsidRPr="00C126B8">
        <w:rPr>
          <w:i/>
        </w:rPr>
        <w:t>C</w:t>
      </w:r>
      <w:r w:rsidR="00C126B8" w:rsidRPr="00C126B8">
        <w:rPr>
          <w:i/>
        </w:rPr>
        <w:t xml:space="preserve">atholic </w:t>
      </w:r>
      <w:r w:rsidR="00C246D7" w:rsidRPr="00C126B8">
        <w:rPr>
          <w:i/>
        </w:rPr>
        <w:t>B</w:t>
      </w:r>
      <w:r w:rsidR="00C126B8" w:rsidRPr="00C126B8">
        <w:rPr>
          <w:i/>
        </w:rPr>
        <w:t xml:space="preserve">iblical </w:t>
      </w:r>
      <w:r w:rsidR="00C246D7" w:rsidRPr="00C126B8">
        <w:rPr>
          <w:i/>
        </w:rPr>
        <w:t>Q</w:t>
      </w:r>
      <w:r w:rsidR="00C126B8" w:rsidRPr="00C126B8">
        <w:rPr>
          <w:i/>
        </w:rPr>
        <w:t>uarterly</w:t>
      </w:r>
      <w:r w:rsidR="00C126B8">
        <w:rPr>
          <w:i/>
        </w:rPr>
        <w:t>,</w:t>
      </w:r>
      <w:r w:rsidR="00C246D7">
        <w:t xml:space="preserve"> </w:t>
      </w:r>
      <w:r w:rsidR="00C126B8">
        <w:t xml:space="preserve">Vol. </w:t>
      </w:r>
      <w:r w:rsidR="00C246D7">
        <w:t>48</w:t>
      </w:r>
      <w:r w:rsidR="00C126B8">
        <w:t xml:space="preserve">, No. 2, </w:t>
      </w:r>
      <w:r w:rsidR="00C246D7">
        <w:t>241-</w:t>
      </w:r>
      <w:r w:rsidR="00FA2762">
        <w:t>2</w:t>
      </w:r>
      <w:r w:rsidR="00C246D7">
        <w:t>63</w:t>
      </w:r>
      <w:r w:rsidR="00C126B8">
        <w:t>. Catholic University of America, Washington D. C. 1986.</w:t>
      </w:r>
    </w:p>
    <w:p w14:paraId="7CD911F8" w14:textId="1D30EB85" w:rsidR="00C8655A" w:rsidRDefault="00843A57" w:rsidP="00E950D3">
      <w:pPr>
        <w:spacing w:after="0" w:line="360" w:lineRule="auto"/>
        <w:jc w:val="both"/>
      </w:pPr>
      <w:r>
        <w:t xml:space="preserve">15. </w:t>
      </w:r>
      <w:r w:rsidR="00FB27D0">
        <w:t xml:space="preserve">Wenham, G. J.: </w:t>
      </w:r>
      <w:r w:rsidR="00FB27D0" w:rsidRPr="00FB27D0">
        <w:rPr>
          <w:i/>
        </w:rPr>
        <w:t>Word Biblical Commentary, Genesis 1–15</w:t>
      </w:r>
      <w:r w:rsidR="00FB27D0">
        <w:rPr>
          <w:i/>
        </w:rPr>
        <w:t xml:space="preserve"> </w:t>
      </w:r>
      <w:r w:rsidR="00FB27D0" w:rsidRPr="00FB27D0">
        <w:rPr>
          <w:i/>
        </w:rPr>
        <w:t>Vol. 1</w:t>
      </w:r>
      <w:r w:rsidR="00D32D02">
        <w:t xml:space="preserve">. </w:t>
      </w:r>
      <w:r w:rsidR="00FB27D0">
        <w:t>Word, Inc</w:t>
      </w:r>
      <w:r w:rsidR="00657427">
        <w:t>orporated</w:t>
      </w:r>
      <w:r w:rsidR="00FB27D0">
        <w:t>, Dallas 1998.</w:t>
      </w:r>
    </w:p>
    <w:sectPr w:rsidR="00C8655A" w:rsidSect="00E950D3">
      <w:pgSz w:w="11907" w:h="16839" w:code="9"/>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951A0" w14:textId="77777777" w:rsidR="00B13BEE" w:rsidRDefault="00B13BEE" w:rsidP="00767399">
      <w:pPr>
        <w:spacing w:after="0" w:line="240" w:lineRule="auto"/>
      </w:pPr>
      <w:r>
        <w:separator/>
      </w:r>
    </w:p>
  </w:endnote>
  <w:endnote w:type="continuationSeparator" w:id="0">
    <w:p w14:paraId="795C55A8" w14:textId="77777777" w:rsidR="00B13BEE" w:rsidRDefault="00B13BEE" w:rsidP="0076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w:altName w:val="Times New Roman"/>
    <w:charset w:val="00"/>
    <w:family w:val="auto"/>
    <w:pitch w:val="variable"/>
    <w:sig w:usb0="E00000FF" w:usb1="00000003"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358773"/>
      <w:docPartObj>
        <w:docPartGallery w:val="Page Numbers (Bottom of Page)"/>
        <w:docPartUnique/>
      </w:docPartObj>
    </w:sdtPr>
    <w:sdtEndPr>
      <w:rPr>
        <w:noProof/>
      </w:rPr>
    </w:sdtEndPr>
    <w:sdtContent>
      <w:p w14:paraId="49F53C19" w14:textId="4C54443D" w:rsidR="00F405A9" w:rsidRDefault="00F405A9">
        <w:pPr>
          <w:pStyle w:val="Footer"/>
          <w:jc w:val="right"/>
        </w:pPr>
        <w:r>
          <w:fldChar w:fldCharType="begin"/>
        </w:r>
        <w:r>
          <w:instrText xml:space="preserve"> PAGE   \* MERGEFORMAT </w:instrText>
        </w:r>
        <w:r>
          <w:fldChar w:fldCharType="separate"/>
        </w:r>
        <w:r w:rsidR="00302970">
          <w:rPr>
            <w:noProof/>
          </w:rPr>
          <w:t>1</w:t>
        </w:r>
        <w:r>
          <w:rPr>
            <w:noProof/>
          </w:rPr>
          <w:fldChar w:fldCharType="end"/>
        </w:r>
      </w:p>
    </w:sdtContent>
  </w:sdt>
  <w:p w14:paraId="1750A035" w14:textId="77777777" w:rsidR="00F405A9" w:rsidRDefault="00F40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63BE2" w14:textId="77777777" w:rsidR="00B13BEE" w:rsidRDefault="00B13BEE" w:rsidP="00767399">
      <w:pPr>
        <w:spacing w:after="0" w:line="240" w:lineRule="auto"/>
      </w:pPr>
      <w:r>
        <w:separator/>
      </w:r>
    </w:p>
  </w:footnote>
  <w:footnote w:type="continuationSeparator" w:id="0">
    <w:p w14:paraId="1CB18A6B" w14:textId="77777777" w:rsidR="00B13BEE" w:rsidRDefault="00B13BEE" w:rsidP="00767399">
      <w:pPr>
        <w:spacing w:after="0" w:line="240" w:lineRule="auto"/>
      </w:pPr>
      <w:r>
        <w:continuationSeparator/>
      </w:r>
    </w:p>
  </w:footnote>
  <w:footnote w:id="1">
    <w:p w14:paraId="62F35364" w14:textId="77777777" w:rsidR="007F17DE" w:rsidRDefault="007F17DE" w:rsidP="00767399">
      <w:pPr>
        <w:pStyle w:val="FootnoteText"/>
      </w:pPr>
      <w:r>
        <w:rPr>
          <w:rStyle w:val="FootnoteReference"/>
        </w:rPr>
        <w:footnoteRef/>
      </w:r>
      <w:r>
        <w:t xml:space="preserve"> Carson, 1991: 112.</w:t>
      </w:r>
    </w:p>
  </w:footnote>
  <w:footnote w:id="2">
    <w:p w14:paraId="2BD31FB6" w14:textId="055C127C" w:rsidR="007F17DE" w:rsidRDefault="007F17DE" w:rsidP="00767399">
      <w:pPr>
        <w:pStyle w:val="FootnoteText"/>
      </w:pPr>
      <w:r>
        <w:rPr>
          <w:rStyle w:val="FootnoteReference"/>
        </w:rPr>
        <w:footnoteRef/>
      </w:r>
      <w:r>
        <w:t xml:space="preserve"> Beasley-Murray, 2002:</w:t>
      </w:r>
      <w:r w:rsidR="00657427">
        <w:t xml:space="preserve"> </w:t>
      </w:r>
      <w:r>
        <w:t>3. Gordley provides a defense for recognizing the source of the prologue as didactic hymn (Gordley, 2009: 175).</w:t>
      </w:r>
    </w:p>
  </w:footnote>
  <w:footnote w:id="3">
    <w:p w14:paraId="5D7450AC" w14:textId="5BBCCB5E" w:rsidR="007F17DE" w:rsidRDefault="007F17DE" w:rsidP="00B42656">
      <w:pPr>
        <w:pStyle w:val="FootnoteText"/>
      </w:pPr>
      <w:r>
        <w:rPr>
          <w:rStyle w:val="FootnoteReference"/>
        </w:rPr>
        <w:footnoteRef/>
      </w:r>
      <w:r>
        <w:t xml:space="preserve"> Authorship of the Gospel of John is a debated topic. Reference in this article to John as the author is based on the direct indication of an implied author in John 21:24. The gospel refers to the author as the “beloved disciple,” a first-hand witness of Jesus</w:t>
      </w:r>
      <w:r w:rsidR="00D32D02">
        <w:t xml:space="preserve">. </w:t>
      </w:r>
      <w:r>
        <w:t>Bauckham recognizes the author as John the Elder (Bauckham, 2007: 82)</w:t>
      </w:r>
      <w:r w:rsidR="00D32D02">
        <w:t xml:space="preserve">. </w:t>
      </w:r>
      <w:r>
        <w:t xml:space="preserve">Carson makes the case for John the son of Zebedee (Carson, 1991: 68-81). </w:t>
      </w:r>
      <w:r w:rsidR="004A6C43">
        <w:t>Reference</w:t>
      </w:r>
      <w:r>
        <w:t xml:space="preserve"> to John as t</w:t>
      </w:r>
      <w:r w:rsidR="00081737">
        <w:t xml:space="preserve">he implied author, </w:t>
      </w:r>
      <w:r w:rsidR="004A6C43">
        <w:t>is an acknowledgment that</w:t>
      </w:r>
      <w:r>
        <w:t xml:space="preserve"> the argument of real authorship </w:t>
      </w:r>
      <w:r w:rsidR="004A6C43">
        <w:t>is</w:t>
      </w:r>
      <w:r>
        <w:t xml:space="preserve"> beyond the scope of this article. </w:t>
      </w:r>
    </w:p>
  </w:footnote>
  <w:footnote w:id="4">
    <w:p w14:paraId="5247C23B" w14:textId="77777777" w:rsidR="007F17DE" w:rsidRDefault="007F17DE" w:rsidP="00767399">
      <w:pPr>
        <w:pStyle w:val="FootnoteText"/>
      </w:pPr>
      <w:r>
        <w:rPr>
          <w:rStyle w:val="FootnoteReference"/>
        </w:rPr>
        <w:footnoteRef/>
      </w:r>
      <w:r>
        <w:t xml:space="preserve"> All Scripture references are taken from the </w:t>
      </w:r>
      <w:r>
        <w:rPr>
          <w:i/>
        </w:rPr>
        <w:t>New American Standard Bible</w:t>
      </w:r>
      <w:r>
        <w:t xml:space="preserve"> (Lockman Foundation, 1995).</w:t>
      </w:r>
    </w:p>
  </w:footnote>
  <w:footnote w:id="5">
    <w:p w14:paraId="25F332EB" w14:textId="4FA8B72F" w:rsidR="00590651" w:rsidRDefault="00590651">
      <w:pPr>
        <w:pStyle w:val="FootnoteText"/>
      </w:pPr>
      <w:r>
        <w:rPr>
          <w:rStyle w:val="FootnoteReference"/>
        </w:rPr>
        <w:footnoteRef/>
      </w:r>
      <w:r>
        <w:t xml:space="preserve"> Beasley-Murray calls the use of </w:t>
      </w:r>
      <w:r w:rsidR="004A4039">
        <w:t>“</w:t>
      </w:r>
      <w:r>
        <w:t>word</w:t>
      </w:r>
      <w:r w:rsidR="004A4039">
        <w:t>”</w:t>
      </w:r>
      <w:r>
        <w:t xml:space="preserve"> (</w:t>
      </w:r>
      <w:r w:rsidR="004A4039">
        <w:rPr>
          <w:lang w:val="el-GR"/>
        </w:rPr>
        <w:t>λόγος</w:t>
      </w:r>
      <w:r>
        <w:t>) by John in the prologue “a master-stroke of communication to the world of his day” (Beasley-Murray, 2002: lxvi</w:t>
      </w:r>
      <w:r w:rsidR="004A4039">
        <w:t>), describing the familiarity of both Hebrew and Greek readers with some awareness of “word” as a theological or philosophical concept</w:t>
      </w:r>
      <w:r w:rsidR="00D32D02">
        <w:t xml:space="preserve">. </w:t>
      </w:r>
      <w:r w:rsidR="004A4039">
        <w:t xml:space="preserve">While recognizing the importance of the concept to the prologue, discussion of the meaning of “word” is beyond the scope of this article. </w:t>
      </w:r>
    </w:p>
  </w:footnote>
  <w:footnote w:id="6">
    <w:p w14:paraId="578D6636" w14:textId="77777777" w:rsidR="0099038E" w:rsidRDefault="0099038E" w:rsidP="0099038E">
      <w:pPr>
        <w:pStyle w:val="FootnoteText"/>
      </w:pPr>
      <w:r>
        <w:rPr>
          <w:rStyle w:val="FootnoteReference"/>
        </w:rPr>
        <w:footnoteRef/>
      </w:r>
      <w:r>
        <w:t xml:space="preserve"> Carson, 1991: 119-120, 138. See also, Beasley-Murray, 2002: 11.</w:t>
      </w:r>
    </w:p>
  </w:footnote>
  <w:footnote w:id="7">
    <w:p w14:paraId="3FFC65AF" w14:textId="77777777" w:rsidR="007F17DE" w:rsidRPr="00B40D8D" w:rsidRDefault="007F17DE" w:rsidP="00767399">
      <w:pPr>
        <w:pStyle w:val="FootnoteText"/>
      </w:pPr>
      <w:r w:rsidRPr="00B40D8D">
        <w:rPr>
          <w:rStyle w:val="FootnoteReference"/>
        </w:rPr>
        <w:footnoteRef/>
      </w:r>
      <w:r>
        <w:t xml:space="preserve"> Carson, 1991: 113.</w:t>
      </w:r>
    </w:p>
  </w:footnote>
  <w:footnote w:id="8">
    <w:p w14:paraId="50D5B8B9" w14:textId="73721545" w:rsidR="007F17DE" w:rsidRDefault="007F17DE" w:rsidP="00985D5E">
      <w:pPr>
        <w:pStyle w:val="FootnoteText"/>
      </w:pPr>
      <w:r>
        <w:rPr>
          <w:rStyle w:val="FootnoteReference"/>
        </w:rPr>
        <w:footnoteRef/>
      </w:r>
      <w:r>
        <w:t xml:space="preserve"> Lund, 1930: 74-93. The explanation of chiasm presented here follows Lund. Lund argues that the use of chiastic structure is a Hebrew influence</w:t>
      </w:r>
      <w:r w:rsidR="00081737">
        <w:t xml:space="preserve"> on New Testament literature</w:t>
      </w:r>
      <w:r>
        <w:t xml:space="preserve"> (ibid. 91-92)</w:t>
      </w:r>
      <w:r w:rsidR="00D32D02">
        <w:t xml:space="preserve">. </w:t>
      </w:r>
      <w:r>
        <w:t>Frank Moore Cross has shown the presence of chiasm to extend beyond the Old Testament, being employed in Ugarit poetry contemporary with early Hebrew literature (Cross, 1974: 1-15)</w:t>
      </w:r>
      <w:r w:rsidR="00D32D02">
        <w:t xml:space="preserve">. </w:t>
      </w:r>
    </w:p>
  </w:footnote>
  <w:footnote w:id="9">
    <w:p w14:paraId="321C7C5B" w14:textId="2C80C935" w:rsidR="007F17DE" w:rsidRDefault="007F17DE" w:rsidP="00767399">
      <w:pPr>
        <w:pStyle w:val="FootnoteText"/>
      </w:pPr>
      <w:r>
        <w:rPr>
          <w:rStyle w:val="FootnoteReference"/>
        </w:rPr>
        <w:footnoteRef/>
      </w:r>
      <w:r>
        <w:t xml:space="preserve"> The flood story of Genesis 6:9-9:19 provides an example of chiastic structure in the narrative genre that artistically ascends with the rise of the waters to the midpoint of 8:1 with God’s remembrance of Noah before descending again with the lowering of the waters (Wenham, 1998: 156)</w:t>
      </w:r>
      <w:r w:rsidR="00D32D02">
        <w:t xml:space="preserve">. </w:t>
      </w:r>
      <w:r>
        <w:t>Jeremiah 20:7-18 serves as an example in prophetic literature with a midpoint of praise in 12-13 being sandwiched between deep angst.</w:t>
      </w:r>
      <w:r w:rsidR="007E183A">
        <w:t xml:space="preserve"> See Psalm 145:2 for a poetic example.</w:t>
      </w:r>
    </w:p>
  </w:footnote>
  <w:footnote w:id="10">
    <w:p w14:paraId="0EA14372" w14:textId="0B4C4236" w:rsidR="001A3149" w:rsidRDefault="001A3149">
      <w:pPr>
        <w:pStyle w:val="FootnoteText"/>
      </w:pPr>
      <w:r>
        <w:rPr>
          <w:rStyle w:val="FootnoteReference"/>
        </w:rPr>
        <w:footnoteRef/>
      </w:r>
      <w:r>
        <w:t xml:space="preserve"> </w:t>
      </w:r>
      <w:r w:rsidRPr="007B5D83">
        <w:rPr>
          <w:rFonts w:cs="Times New Roman"/>
          <w:lang w:val="hr-HR"/>
        </w:rPr>
        <w:t>Šarić</w:t>
      </w:r>
      <w:r>
        <w:t xml:space="preserve"> </w:t>
      </w:r>
      <w:r w:rsidR="005F58B4">
        <w:t>provides</w:t>
      </w:r>
      <w:r>
        <w:t xml:space="preserve"> a Croatian translation that keeps the Greek word order for Romans 10:9-10. (</w:t>
      </w:r>
      <w:r w:rsidRPr="007B5D83">
        <w:rPr>
          <w:rFonts w:cs="Times New Roman"/>
          <w:lang w:val="hr-HR"/>
        </w:rPr>
        <w:t xml:space="preserve">Šarić, I. E.: </w:t>
      </w:r>
      <w:r w:rsidRPr="007B5D83">
        <w:rPr>
          <w:rFonts w:cs="Times New Roman"/>
          <w:i/>
          <w:color w:val="000000"/>
          <w:shd w:val="clear" w:color="auto" w:fill="FFFFFF"/>
          <w:lang w:val="hr-HR"/>
        </w:rPr>
        <w:t>Biblija, Sveto pismo Staroga i Novoga zavjeta</w:t>
      </w:r>
      <w:r w:rsidRPr="007B5D83">
        <w:rPr>
          <w:rFonts w:cs="Times New Roman"/>
          <w:color w:val="000000"/>
          <w:shd w:val="clear" w:color="auto" w:fill="FFFFFF"/>
          <w:lang w:val="hr-HR"/>
        </w:rPr>
        <w:t>. Hrvatsko biblijsko društvo, Zagreb 2010</w:t>
      </w:r>
      <w:r w:rsidRPr="007B5D83">
        <w:rPr>
          <w:rFonts w:cs="Times New Roman"/>
          <w:lang w:val="hr-HR"/>
        </w:rPr>
        <w:t>.)</w:t>
      </w:r>
    </w:p>
  </w:footnote>
  <w:footnote w:id="11">
    <w:p w14:paraId="09DB7F29" w14:textId="7B6597BD" w:rsidR="007F17DE" w:rsidRDefault="007F17DE" w:rsidP="00810194">
      <w:pPr>
        <w:pStyle w:val="FootnoteText"/>
      </w:pPr>
      <w:r>
        <w:rPr>
          <w:rStyle w:val="FootnoteReference"/>
        </w:rPr>
        <w:footnoteRef/>
      </w:r>
      <w:r>
        <w:t xml:space="preserve"> Staley, 1986: 243</w:t>
      </w:r>
      <w:r w:rsidR="00D32D02">
        <w:t xml:space="preserve">. </w:t>
      </w:r>
    </w:p>
  </w:footnote>
  <w:footnote w:id="12">
    <w:p w14:paraId="44AA020A" w14:textId="77777777" w:rsidR="007F17DE" w:rsidRDefault="007F17DE">
      <w:pPr>
        <w:pStyle w:val="FootnoteText"/>
      </w:pPr>
      <w:r>
        <w:rPr>
          <w:rStyle w:val="FootnoteReference"/>
        </w:rPr>
        <w:footnoteRef/>
      </w:r>
      <w:r>
        <w:t xml:space="preserve"> Staley, 1986: 243-244. See also, Culpepper, 1980: 10.</w:t>
      </w:r>
    </w:p>
  </w:footnote>
  <w:footnote w:id="13">
    <w:p w14:paraId="491D11AC" w14:textId="7D495E4D" w:rsidR="007F17DE" w:rsidRDefault="007F17DE">
      <w:pPr>
        <w:pStyle w:val="FootnoteText"/>
      </w:pPr>
      <w:r>
        <w:rPr>
          <w:rStyle w:val="FootnoteReference"/>
        </w:rPr>
        <w:footnoteRef/>
      </w:r>
      <w:r>
        <w:t xml:space="preserve"> Staley, 1986: 245-246. Culpepper provides a history of the chiastic treatment of John 1:1-18 (Culpepper, 1980: 2-6), arriving at a </w:t>
      </w:r>
      <w:proofErr w:type="gramStart"/>
      <w:r>
        <w:t>15 point</w:t>
      </w:r>
      <w:proofErr w:type="gramEnd"/>
      <w:r>
        <w:t xml:space="preserve"> chiasm that divides the text with more detail than Staley</w:t>
      </w:r>
      <w:r w:rsidR="00D32D02">
        <w:t xml:space="preserve">. </w:t>
      </w:r>
      <w:r>
        <w:t xml:space="preserve">While Culpepper </w:t>
      </w:r>
      <w:proofErr w:type="gramStart"/>
      <w:r>
        <w:t>is able to</w:t>
      </w:r>
      <w:proofErr w:type="gramEnd"/>
      <w:r>
        <w:t xml:space="preserve"> draw out more parallels, his chiasm breaks apart the text at two critical points</w:t>
      </w:r>
      <w:r w:rsidR="00D32D02">
        <w:t xml:space="preserve">. </w:t>
      </w:r>
      <w:r>
        <w:t>First, he fails to link the revelatory role of Jesus in 1:5 and 1:18, and second, he breaks apart the 1, 2, 1’, 2’ structure of 1:12-13 (Culpepper, 1980: 16)</w:t>
      </w:r>
      <w:r w:rsidR="00D32D02">
        <w:t xml:space="preserve">. </w:t>
      </w:r>
      <w:r>
        <w:t xml:space="preserve">By placing 1:12-13 at the center of the chiasm, the structure provided here agrees with Culpepper’s primary thesis regarding the importance of the term </w:t>
      </w:r>
      <w:r>
        <w:rPr>
          <w:lang w:val="el-GR"/>
        </w:rPr>
        <w:t>τέκνα θεοῦ</w:t>
      </w:r>
      <w:r>
        <w:t>, while maintaining the parallel between “children of God” in 1:12 and “born of God” in 1:13</w:t>
      </w:r>
      <w:r w:rsidR="00D32D02">
        <w:t xml:space="preserve">. </w:t>
      </w:r>
      <w:r>
        <w:t>Beasley-Murray resists accepting the prologue as chiastic based on arguments against Culp</w:t>
      </w:r>
      <w:r w:rsidR="00081737">
        <w:t>epper (Beasley-Murray, 2002: 4).</w:t>
      </w:r>
      <w:r>
        <w:t xml:space="preserve"> Staley’s division of the text, however, seems to overcome Beasley-Murray’s objections.</w:t>
      </w:r>
    </w:p>
  </w:footnote>
  <w:footnote w:id="14">
    <w:p w14:paraId="7B3BDDBB" w14:textId="437D3475" w:rsidR="007F17DE" w:rsidRDefault="007F17DE">
      <w:pPr>
        <w:pStyle w:val="FootnoteText"/>
      </w:pPr>
      <w:r>
        <w:rPr>
          <w:rStyle w:val="FootnoteReference"/>
        </w:rPr>
        <w:footnoteRef/>
      </w:r>
      <w:r>
        <w:t xml:space="preserve"> Some scholars follow the Old Latin translation of “who was born”, seeing this clause as a reference to the virgin birth of Christ. No Greek manuscripts, however, support this reading</w:t>
      </w:r>
      <w:r w:rsidR="00D32D02">
        <w:t xml:space="preserve">. </w:t>
      </w:r>
      <w:r>
        <w:t>The original most surely has in mind “who were born”, referring to those who believe in Jesus (Carson, 1991: 138-139).</w:t>
      </w:r>
    </w:p>
  </w:footnote>
  <w:footnote w:id="15">
    <w:p w14:paraId="42B63E81" w14:textId="77777777" w:rsidR="007F17DE" w:rsidRPr="00D36395" w:rsidRDefault="007F17DE">
      <w:pPr>
        <w:pStyle w:val="FootnoteText"/>
        <w:rPr>
          <w:lang w:val="hr-HR"/>
        </w:rPr>
      </w:pPr>
      <w:r>
        <w:rPr>
          <w:rStyle w:val="FootnoteReference"/>
        </w:rPr>
        <w:footnoteRef/>
      </w:r>
      <w:r>
        <w:t xml:space="preserve"> </w:t>
      </w:r>
      <w:proofErr w:type="spellStart"/>
      <w:r>
        <w:rPr>
          <w:lang w:val="hr-HR"/>
        </w:rPr>
        <w:t>Culpepper</w:t>
      </w:r>
      <w:proofErr w:type="spellEnd"/>
      <w:r>
        <w:rPr>
          <w:lang w:val="hr-HR"/>
        </w:rPr>
        <w:t xml:space="preserve">, 1980: 10. </w:t>
      </w:r>
      <w:proofErr w:type="spellStart"/>
      <w:r>
        <w:rPr>
          <w:lang w:val="hr-HR"/>
        </w:rPr>
        <w:t>The</w:t>
      </w:r>
      <w:proofErr w:type="spellEnd"/>
      <w:r>
        <w:rPr>
          <w:lang w:val="hr-HR"/>
        </w:rPr>
        <w:t xml:space="preserve"> </w:t>
      </w:r>
      <w:proofErr w:type="spellStart"/>
      <w:r>
        <w:rPr>
          <w:lang w:val="hr-HR"/>
        </w:rPr>
        <w:t>first</w:t>
      </w:r>
      <w:proofErr w:type="spellEnd"/>
      <w:r>
        <w:rPr>
          <w:lang w:val="hr-HR"/>
        </w:rPr>
        <w:t xml:space="preserve"> </w:t>
      </w:r>
      <w:proofErr w:type="spellStart"/>
      <w:r>
        <w:rPr>
          <w:lang w:val="hr-HR"/>
        </w:rPr>
        <w:t>three</w:t>
      </w:r>
      <w:proofErr w:type="spellEnd"/>
      <w:r>
        <w:rPr>
          <w:lang w:val="hr-HR"/>
        </w:rPr>
        <w:t xml:space="preserve"> </w:t>
      </w:r>
      <w:proofErr w:type="spellStart"/>
      <w:r>
        <w:rPr>
          <w:lang w:val="hr-HR"/>
        </w:rPr>
        <w:t>links</w:t>
      </w:r>
      <w:proofErr w:type="spellEnd"/>
      <w:r>
        <w:rPr>
          <w:lang w:val="hr-HR"/>
        </w:rPr>
        <w:t xml:space="preserve"> for A </w:t>
      </w:r>
      <w:proofErr w:type="spellStart"/>
      <w:r>
        <w:rPr>
          <w:lang w:val="hr-HR"/>
        </w:rPr>
        <w:t>and</w:t>
      </w:r>
      <w:proofErr w:type="spellEnd"/>
      <w:r>
        <w:rPr>
          <w:lang w:val="hr-HR"/>
        </w:rPr>
        <w:t xml:space="preserve"> A' are </w:t>
      </w:r>
      <w:proofErr w:type="spellStart"/>
      <w:r>
        <w:rPr>
          <w:lang w:val="hr-HR"/>
        </w:rPr>
        <w:t>shown</w:t>
      </w:r>
      <w:proofErr w:type="spellEnd"/>
      <w:r>
        <w:rPr>
          <w:lang w:val="hr-HR"/>
        </w:rPr>
        <w:t xml:space="preserve"> </w:t>
      </w:r>
      <w:proofErr w:type="spellStart"/>
      <w:r>
        <w:rPr>
          <w:lang w:val="hr-HR"/>
        </w:rPr>
        <w:t>by</w:t>
      </w:r>
      <w:proofErr w:type="spellEnd"/>
      <w:r>
        <w:rPr>
          <w:lang w:val="hr-HR"/>
        </w:rPr>
        <w:t xml:space="preserve"> </w:t>
      </w:r>
      <w:proofErr w:type="spellStart"/>
      <w:r>
        <w:rPr>
          <w:lang w:val="hr-HR"/>
        </w:rPr>
        <w:t>Culpepper</w:t>
      </w:r>
      <w:proofErr w:type="spellEnd"/>
      <w:r>
        <w:rPr>
          <w:lang w:val="hr-HR"/>
        </w:rPr>
        <w:t>.</w:t>
      </w:r>
    </w:p>
  </w:footnote>
  <w:footnote w:id="16">
    <w:p w14:paraId="6488A02C" w14:textId="2D8487A0" w:rsidR="007F17DE" w:rsidRDefault="007F17DE" w:rsidP="00767399">
      <w:pPr>
        <w:pStyle w:val="FootnoteText"/>
      </w:pPr>
      <w:r>
        <w:rPr>
          <w:rStyle w:val="FootnoteReference"/>
        </w:rPr>
        <w:footnoteRef/>
      </w:r>
      <w:r>
        <w:t xml:space="preserve"> In the story of the last supper “the disciple Jesus loved” leans onto the chest of Jesus to receive knowledge concerning who will betray him (John 13:23-26)</w:t>
      </w:r>
      <w:r w:rsidR="00D32D02">
        <w:t xml:space="preserve">. </w:t>
      </w:r>
      <w:r>
        <w:t>The story provides a parallel to recognizing the Son</w:t>
      </w:r>
      <w:r w:rsidR="00081737">
        <w:t>’</w:t>
      </w:r>
      <w:r>
        <w:t>s place in the bosom of the Father as a place where intimate knowledge is received (Beasley-Murray, 2002: 4).</w:t>
      </w:r>
    </w:p>
  </w:footnote>
  <w:footnote w:id="17">
    <w:p w14:paraId="6875927F" w14:textId="295BC902" w:rsidR="007F17DE" w:rsidRDefault="007F17DE" w:rsidP="00767399">
      <w:pPr>
        <w:pStyle w:val="FootnoteText"/>
      </w:pPr>
      <w:r>
        <w:rPr>
          <w:rStyle w:val="FootnoteReference"/>
        </w:rPr>
        <w:footnoteRef/>
      </w:r>
      <w:r>
        <w:t xml:space="preserve"> </w:t>
      </w:r>
      <w:r w:rsidRPr="00707C17">
        <w:t xml:space="preserve">Defining the final verb of the prologue </w:t>
      </w:r>
      <w:r>
        <w:t>is not easy</w:t>
      </w:r>
      <w:r w:rsidR="00D32D02">
        <w:t xml:space="preserve">. </w:t>
      </w:r>
      <w:r>
        <w:t>Boismard defines</w:t>
      </w:r>
      <w:r w:rsidRPr="00707C17">
        <w:t xml:space="preserve"> </w:t>
      </w:r>
      <w:proofErr w:type="spellStart"/>
      <w:r w:rsidRPr="00707C17">
        <w:t>ἐξηγήσ</w:t>
      </w:r>
      <w:proofErr w:type="spellEnd"/>
      <w:r w:rsidRPr="00707C17">
        <w:t xml:space="preserve">ατο as </w:t>
      </w:r>
      <w:r w:rsidR="00D46EF5">
        <w:t>“</w:t>
      </w:r>
      <w:r w:rsidRPr="00707C17">
        <w:t>to lead</w:t>
      </w:r>
      <w:r w:rsidR="00D46EF5">
        <w:t>”</w:t>
      </w:r>
      <w:r>
        <w:t xml:space="preserve"> (Boismard, 1957: 70)</w:t>
      </w:r>
      <w:r w:rsidR="00D32D02">
        <w:t xml:space="preserve">. </w:t>
      </w:r>
      <w:r w:rsidRPr="00707C17">
        <w:t>Carson calls this highly improbable, and suggests both the meaning of “made known” and “narrating.”</w:t>
      </w:r>
      <w:r>
        <w:t xml:space="preserve"> (Carson, 1991: 135)</w:t>
      </w:r>
      <w:r w:rsidR="00281525">
        <w:t>.</w:t>
      </w:r>
      <w:r w:rsidRPr="00707C17">
        <w:t xml:space="preserve"> Harris prefers the meaning “to communicate divine things” because it works without the need of an object which is lacking in verse 18, and because it has a broad range of meaning that could cover b</w:t>
      </w:r>
      <w:r>
        <w:t>oth Jesus’ words and actions (Harris, 1994: 114-115).</w:t>
      </w:r>
    </w:p>
  </w:footnote>
  <w:footnote w:id="18">
    <w:p w14:paraId="0181FC2A" w14:textId="77777777" w:rsidR="007F17DE" w:rsidRDefault="007F17DE" w:rsidP="00767399">
      <w:pPr>
        <w:pStyle w:val="FootnoteText"/>
      </w:pPr>
      <w:r>
        <w:rPr>
          <w:rStyle w:val="FootnoteReference"/>
        </w:rPr>
        <w:footnoteRef/>
      </w:r>
      <w:r>
        <w:t xml:space="preserve"> Carson, 1991: 113.</w:t>
      </w:r>
    </w:p>
  </w:footnote>
  <w:footnote w:id="19">
    <w:p w14:paraId="72B38B8E" w14:textId="2EBB5E9D" w:rsidR="00C45802" w:rsidRDefault="00C45802">
      <w:pPr>
        <w:pStyle w:val="FootnoteText"/>
      </w:pPr>
      <w:r>
        <w:rPr>
          <w:rStyle w:val="FootnoteReference"/>
        </w:rPr>
        <w:footnoteRef/>
      </w:r>
      <w:r>
        <w:t xml:space="preserve"> See for example, Jesus’ questioning of Nathanael’s belief in John 1:50 and his reticence to entrust himself to those who believe in him in John 2:23-25 or the contrast </w:t>
      </w:r>
      <w:r w:rsidR="00327331">
        <w:t xml:space="preserve">in 4:39-45 </w:t>
      </w:r>
      <w:r>
        <w:t xml:space="preserve">between the Samaritans who </w:t>
      </w:r>
      <w:r w:rsidR="00327331">
        <w:t xml:space="preserve">truly </w:t>
      </w:r>
      <w:r>
        <w:t>received Jesus and the Galileans who</w:t>
      </w:r>
      <w:r w:rsidR="00046B97">
        <w:t xml:space="preserve"> </w:t>
      </w:r>
      <w:r>
        <w:t xml:space="preserve">received Jesus </w:t>
      </w:r>
      <w:r w:rsidR="00327331">
        <w:t>without</w:t>
      </w:r>
      <w:r w:rsidR="00046B97">
        <w:t xml:space="preserve"> </w:t>
      </w:r>
      <w:r w:rsidR="00327331">
        <w:t>really receiving him.</w:t>
      </w:r>
    </w:p>
  </w:footnote>
  <w:footnote w:id="20">
    <w:p w14:paraId="531315D8" w14:textId="1A11D835" w:rsidR="00974F62" w:rsidRDefault="00974F62" w:rsidP="00974F62">
      <w:pPr>
        <w:pStyle w:val="FootnoteText"/>
      </w:pPr>
      <w:r>
        <w:rPr>
          <w:rStyle w:val="FootnoteReference"/>
        </w:rPr>
        <w:footnoteRef/>
      </w:r>
      <w:r>
        <w:t xml:space="preserve"> Though Philippians 2:6-11 begins and ends similarly to John 1:1-18 with Jesus Christ existing as God, the Christ hymn in Philippians uses chiasm, not developmentally but chronologically, creating movement in time by showing Jesus as God, becoming man, dying on a cross, being exalted and established again as Lord. Gordley incorrectly considers John 1:1-18 also chronological, but this does not satisfactorily account for the emphasis of Christ’s eternal relationship with God in A and A’ nor for the repeated reference of John the Baptist (Gordley, 2009: 791). </w:t>
      </w:r>
    </w:p>
  </w:footnote>
  <w:footnote w:id="21">
    <w:p w14:paraId="5D83DEE5" w14:textId="77777777" w:rsidR="007F17DE" w:rsidRPr="00F2557B" w:rsidRDefault="007F17DE" w:rsidP="00F2557B">
      <w:pPr>
        <w:spacing w:after="0" w:line="240" w:lineRule="auto"/>
        <w:rPr>
          <w:sz w:val="20"/>
          <w:szCs w:val="20"/>
        </w:rPr>
      </w:pPr>
      <w:r w:rsidRPr="00F2557B">
        <w:rPr>
          <w:sz w:val="20"/>
          <w:szCs w:val="20"/>
          <w:vertAlign w:val="superscript"/>
        </w:rPr>
        <w:footnoteRef/>
      </w:r>
      <w:r>
        <w:rPr>
          <w:sz w:val="20"/>
          <w:szCs w:val="20"/>
        </w:rPr>
        <w:t xml:space="preserve"> Beasley-Murray, 2002: 4.</w:t>
      </w:r>
    </w:p>
  </w:footnote>
  <w:footnote w:id="22">
    <w:p w14:paraId="270ACF89" w14:textId="77777777" w:rsidR="007F17DE" w:rsidRDefault="007F17DE">
      <w:pPr>
        <w:pStyle w:val="FootnoteText"/>
      </w:pPr>
      <w:r>
        <w:rPr>
          <w:rStyle w:val="FootnoteReference"/>
        </w:rPr>
        <w:footnoteRef/>
      </w:r>
      <w:r>
        <w:t xml:space="preserve"> Culpepper, 1980: 14.</w:t>
      </w:r>
    </w:p>
  </w:footnote>
  <w:footnote w:id="23">
    <w:p w14:paraId="64C8742A" w14:textId="77777777" w:rsidR="007F17DE" w:rsidRDefault="007F17DE" w:rsidP="00767399">
      <w:pPr>
        <w:pStyle w:val="FootnoteText"/>
      </w:pPr>
      <w:r>
        <w:rPr>
          <w:rStyle w:val="FootnoteReference"/>
        </w:rPr>
        <w:footnoteRef/>
      </w:r>
      <w:r>
        <w:t xml:space="preserve"> Carson, 1991: 125.</w:t>
      </w:r>
    </w:p>
  </w:footnote>
  <w:footnote w:id="24">
    <w:p w14:paraId="791D4E57" w14:textId="77777777" w:rsidR="007F17DE" w:rsidRPr="00B40D8D" w:rsidRDefault="007F17DE" w:rsidP="00767399">
      <w:pPr>
        <w:spacing w:after="0"/>
        <w:rPr>
          <w:sz w:val="20"/>
          <w:szCs w:val="20"/>
        </w:rPr>
      </w:pPr>
      <w:r w:rsidRPr="00B40D8D">
        <w:rPr>
          <w:sz w:val="20"/>
          <w:szCs w:val="20"/>
          <w:vertAlign w:val="superscript"/>
        </w:rPr>
        <w:footnoteRef/>
      </w:r>
      <w:r w:rsidRPr="00B40D8D">
        <w:rPr>
          <w:i/>
          <w:iCs/>
          <w:sz w:val="20"/>
          <w:szCs w:val="20"/>
        </w:rPr>
        <w:t xml:space="preserve"> </w:t>
      </w:r>
      <w:r w:rsidRPr="00B40D8D">
        <w:rPr>
          <w:sz w:val="20"/>
          <w:szCs w:val="20"/>
        </w:rPr>
        <w:t xml:space="preserve">Kittel, </w:t>
      </w:r>
      <w:r>
        <w:rPr>
          <w:sz w:val="20"/>
          <w:szCs w:val="20"/>
        </w:rPr>
        <w:t xml:space="preserve">1976: Vol. 7, </w:t>
      </w:r>
      <w:r w:rsidRPr="00B40D8D">
        <w:rPr>
          <w:sz w:val="20"/>
          <w:szCs w:val="20"/>
        </w:rPr>
        <w:t>368.</w:t>
      </w:r>
    </w:p>
  </w:footnote>
  <w:footnote w:id="25">
    <w:p w14:paraId="74534CB3" w14:textId="26420321" w:rsidR="007F17DE" w:rsidRPr="00B40D8D" w:rsidRDefault="007F17DE" w:rsidP="00767399">
      <w:pPr>
        <w:pStyle w:val="FootnoteText"/>
      </w:pPr>
      <w:r w:rsidRPr="00B40D8D">
        <w:rPr>
          <w:rStyle w:val="FootnoteReference"/>
        </w:rPr>
        <w:footnoteRef/>
      </w:r>
      <w:r>
        <w:t xml:space="preserve"> </w:t>
      </w:r>
      <w:r w:rsidRPr="00B40D8D">
        <w:t>Carson</w:t>
      </w:r>
      <w:r>
        <w:t>, 1991:</w:t>
      </w:r>
      <w:r w:rsidRPr="00B40D8D">
        <w:t xml:space="preserve"> 129</w:t>
      </w:r>
      <w:r w:rsidR="00D32D02">
        <w:t xml:space="preserve">. </w:t>
      </w:r>
      <w:r w:rsidRPr="00B40D8D">
        <w:t>Also</w:t>
      </w:r>
      <w:r>
        <w:t>, Kostenberger, 2004: 45 and</w:t>
      </w:r>
      <w:r w:rsidRPr="00B40D8D">
        <w:t xml:space="preserve"> Boismard</w:t>
      </w:r>
      <w:r>
        <w:t>, 1957:</w:t>
      </w:r>
      <w:r w:rsidRPr="00B40D8D">
        <w:t xml:space="preserve"> 54. </w:t>
      </w:r>
      <w:r>
        <w:t>Harris disagrees noting the LXX usage (Harris, 1994:</w:t>
      </w:r>
      <w:r w:rsidRPr="00B40D8D">
        <w:t xml:space="preserve"> 66</w:t>
      </w:r>
      <w:r>
        <w:t>)</w:t>
      </w:r>
      <w:r w:rsidRPr="00B40D8D">
        <w:t>.</w:t>
      </w:r>
    </w:p>
  </w:footnote>
  <w:footnote w:id="26">
    <w:p w14:paraId="3AB25ADA" w14:textId="576303FB" w:rsidR="007F17DE" w:rsidRPr="00B40D8D" w:rsidRDefault="007F17DE" w:rsidP="0053696C">
      <w:pPr>
        <w:pStyle w:val="FootnoteText"/>
      </w:pPr>
      <w:r w:rsidRPr="00B40D8D">
        <w:rPr>
          <w:rStyle w:val="FootnoteReference"/>
        </w:rPr>
        <w:footnoteRef/>
      </w:r>
      <w:r w:rsidRPr="00B40D8D">
        <w:t xml:space="preserve"> Exodus 33:20. That no one has ever seen God may seem contradictory to Exodus 33:11 which declares that Moses used to speak with God “face to face.</w:t>
      </w:r>
      <w:r w:rsidR="00281525">
        <w:t xml:space="preserve">” </w:t>
      </w:r>
      <w:r w:rsidRPr="00B40D8D">
        <w:t>Yet here again the nature and experience of Jesus is shown to be at a completely different level</w:t>
      </w:r>
      <w:r w:rsidR="00D32D02">
        <w:t xml:space="preserve">. </w:t>
      </w:r>
      <w:r w:rsidR="00046B97">
        <w:t>Moses did not see the full glory of God, but a muted version,</w:t>
      </w:r>
      <w:r w:rsidRPr="00B40D8D">
        <w:t xml:space="preserve"> in contrast with Jesus who experienced </w:t>
      </w:r>
      <w:r>
        <w:t>close intimacy with the Father (</w:t>
      </w:r>
      <w:r w:rsidRPr="00B40D8D">
        <w:t>Evans</w:t>
      </w:r>
      <w:r>
        <w:t>, 1993:</w:t>
      </w:r>
      <w:r w:rsidRPr="00B40D8D">
        <w:t xml:space="preserve"> 81</w:t>
      </w:r>
      <w:r>
        <w:t>)</w:t>
      </w:r>
      <w:r w:rsidRPr="00B40D8D">
        <w:t>.</w:t>
      </w:r>
    </w:p>
  </w:footnote>
  <w:footnote w:id="27">
    <w:p w14:paraId="67541F5B" w14:textId="0F842AD9" w:rsidR="007F17DE" w:rsidRDefault="007F17DE" w:rsidP="00E07EC7">
      <w:pPr>
        <w:pStyle w:val="FootnoteText"/>
      </w:pPr>
      <w:r w:rsidRPr="00B40D8D">
        <w:rPr>
          <w:rStyle w:val="FootnoteReference"/>
        </w:rPr>
        <w:footnoteRef/>
      </w:r>
      <w:r>
        <w:t xml:space="preserve"> </w:t>
      </w:r>
      <w:r w:rsidRPr="009C2D6D">
        <w:t>Modern translations of “gr</w:t>
      </w:r>
      <w:r>
        <w:t>ace upon grace”</w:t>
      </w:r>
      <w:r w:rsidRPr="009C2D6D">
        <w:t xml:space="preserve"> or “one blessing/gi</w:t>
      </w:r>
      <w:r>
        <w:t>ft after another</w:t>
      </w:r>
      <w:r w:rsidRPr="009C2D6D">
        <w:t>” do not reflect any of the 20 other New Testament uses of</w:t>
      </w:r>
      <w:r>
        <w:t xml:space="preserve"> the preposition</w:t>
      </w:r>
      <w:r w:rsidRPr="009C2D6D">
        <w:t xml:space="preserve"> </w:t>
      </w:r>
      <w:proofErr w:type="spellStart"/>
      <w:r w:rsidRPr="009C2D6D">
        <w:t>ἀντὶ</w:t>
      </w:r>
      <w:proofErr w:type="spellEnd"/>
      <w:r w:rsidR="00D32D02">
        <w:t xml:space="preserve">. </w:t>
      </w:r>
      <w:r w:rsidRPr="009C2D6D">
        <w:t xml:space="preserve">Neither does the Septuagint in any of its 325 occurrences use </w:t>
      </w:r>
      <w:proofErr w:type="spellStart"/>
      <w:r w:rsidRPr="009C2D6D">
        <w:t>ἀντὶ</w:t>
      </w:r>
      <w:proofErr w:type="spellEnd"/>
      <w:r w:rsidRPr="009C2D6D">
        <w:t xml:space="preserve"> as the piling up of one thing upon anot</w:t>
      </w:r>
      <w:r>
        <w:t>her</w:t>
      </w:r>
      <w:r w:rsidR="00D32D02">
        <w:t xml:space="preserve">. </w:t>
      </w:r>
      <w:r>
        <w:t>Kosten</w:t>
      </w:r>
      <w:r w:rsidR="00081737">
        <w:t xml:space="preserve">berger comments </w:t>
      </w:r>
      <w:proofErr w:type="gramStart"/>
      <w:r w:rsidR="00081737">
        <w:t>in regard to</w:t>
      </w:r>
      <w:proofErr w:type="gramEnd"/>
      <w:r>
        <w:t xml:space="preserve"> the translation of </w:t>
      </w:r>
      <w:r>
        <w:rPr>
          <w:lang w:val="el-GR"/>
        </w:rPr>
        <w:t>χάριν ἀντὶ χάριτος</w:t>
      </w:r>
      <w:r w:rsidRPr="009C2D6D">
        <w:t>, “There is no parallel to ‘grace upon grace’ in a</w:t>
      </w:r>
      <w:r>
        <w:t>ll of ancient Greek literature” (Kostenberger, 2004: 47)</w:t>
      </w:r>
      <w:r w:rsidR="00D32D02">
        <w:t xml:space="preserve">. </w:t>
      </w:r>
      <w:r w:rsidRPr="009C2D6D">
        <w:t xml:space="preserve">The meaning of </w:t>
      </w:r>
      <w:proofErr w:type="spellStart"/>
      <w:r w:rsidRPr="009C2D6D">
        <w:t>ἀντὶ</w:t>
      </w:r>
      <w:proofErr w:type="spellEnd"/>
      <w:r w:rsidRPr="009C2D6D">
        <w:t xml:space="preserve"> “should indicate either opposition or the substitution of one for another</w:t>
      </w:r>
      <w:r>
        <w:t>, but not accumulation</w:t>
      </w:r>
      <w:r w:rsidRPr="009C2D6D">
        <w:t>”</w:t>
      </w:r>
      <w:r>
        <w:t xml:space="preserve"> (Boismard, 1957: 60)</w:t>
      </w:r>
      <w:r w:rsidR="00281525">
        <w:t>.</w:t>
      </w:r>
    </w:p>
  </w:footnote>
  <w:footnote w:id="28">
    <w:p w14:paraId="2143CECF" w14:textId="77777777" w:rsidR="007F17DE" w:rsidRPr="00B40D8D" w:rsidRDefault="007F17DE" w:rsidP="00767399">
      <w:pPr>
        <w:pStyle w:val="FootnoteText"/>
      </w:pPr>
      <w:r w:rsidRPr="00B40D8D">
        <w:rPr>
          <w:rStyle w:val="FootnoteReference"/>
        </w:rPr>
        <w:footnoteRef/>
      </w:r>
      <w:r w:rsidRPr="00B40D8D">
        <w:t xml:space="preserve"> </w:t>
      </w:r>
      <w:r>
        <w:t>The name Jesus or</w:t>
      </w:r>
      <w:r w:rsidRPr="00B40D8D">
        <w:t xml:space="preserve"> Joshua</w:t>
      </w:r>
      <w:r>
        <w:t xml:space="preserve"> is a sentence name combining the Hebrew words f</w:t>
      </w:r>
      <w:r w:rsidR="00081737">
        <w:t>or “Yahweh” and “to help</w:t>
      </w:r>
      <w:r>
        <w:t>” (Kittle, 1964: Vol. 3, 289).</w:t>
      </w:r>
    </w:p>
  </w:footnote>
  <w:footnote w:id="29">
    <w:p w14:paraId="4161B27E" w14:textId="77777777" w:rsidR="007F17DE" w:rsidRPr="00B40D8D" w:rsidRDefault="007F17DE" w:rsidP="009C239C">
      <w:pPr>
        <w:spacing w:after="0" w:line="240" w:lineRule="auto"/>
        <w:rPr>
          <w:rFonts w:cs="Times New Roman"/>
          <w:sz w:val="20"/>
          <w:szCs w:val="20"/>
        </w:rPr>
      </w:pPr>
      <w:r w:rsidRPr="00B40D8D">
        <w:rPr>
          <w:rStyle w:val="FootnoteReference"/>
          <w:sz w:val="20"/>
          <w:szCs w:val="20"/>
        </w:rPr>
        <w:footnoteRef/>
      </w:r>
      <w:r>
        <w:rPr>
          <w:sz w:val="20"/>
          <w:szCs w:val="20"/>
        </w:rPr>
        <w:t xml:space="preserve"> </w:t>
      </w:r>
      <w:r w:rsidRPr="00B40D8D">
        <w:rPr>
          <w:rFonts w:cs="Times New Roman"/>
          <w:sz w:val="20"/>
          <w:szCs w:val="20"/>
        </w:rPr>
        <w:t>Morris</w:t>
      </w:r>
      <w:r>
        <w:rPr>
          <w:rFonts w:cs="Times New Roman"/>
          <w:sz w:val="20"/>
          <w:szCs w:val="20"/>
        </w:rPr>
        <w:t>, 1995: 99-100</w:t>
      </w:r>
      <w:r w:rsidRPr="00B40D8D">
        <w:rPr>
          <w:rFonts w:cs="Times New Roman"/>
          <w:sz w:val="20"/>
          <w:szCs w:val="20"/>
        </w:rPr>
        <w:t xml:space="preserve">. </w:t>
      </w:r>
    </w:p>
  </w:footnote>
  <w:footnote w:id="30">
    <w:p w14:paraId="5C0956B3" w14:textId="0AF3BDC2" w:rsidR="007F17DE" w:rsidRDefault="007F17DE">
      <w:pPr>
        <w:pStyle w:val="FootnoteText"/>
      </w:pPr>
      <w:r>
        <w:rPr>
          <w:rStyle w:val="FootnoteReference"/>
        </w:rPr>
        <w:footnoteRef/>
      </w:r>
      <w:r>
        <w:t xml:space="preserve"> The phrase “lifted up” occurs in John 3:14; 8:28 and 12:32</w:t>
      </w:r>
      <w:r w:rsidR="00D32D02">
        <w:t xml:space="preserve">. </w:t>
      </w:r>
      <w:r>
        <w:t>Jesus</w:t>
      </w:r>
      <w:r w:rsidR="00081737">
        <w:t>’</w:t>
      </w:r>
      <w:r>
        <w:t xml:space="preserve"> first reference during his conversation with Nicodemus enigmatically compares his own lifting up with the story of the serpent lifted up on a pole in Numbers 21:9</w:t>
      </w:r>
      <w:r w:rsidR="00D32D02">
        <w:t xml:space="preserve">. </w:t>
      </w:r>
      <w:r>
        <w:t>In that narrative serpents had been used to punish the rebellion of Israel and the curse, that is the image of a serpent, was fixed to a pole</w:t>
      </w:r>
      <w:r w:rsidR="00D32D02">
        <w:t xml:space="preserve">. </w:t>
      </w:r>
      <w:r>
        <w:t>Whoever looked at the serpent was healed</w:t>
      </w:r>
      <w:r w:rsidR="00D32D02">
        <w:t xml:space="preserve">. </w:t>
      </w:r>
      <w:r>
        <w:t>In the same way, the statement of Jesu</w:t>
      </w:r>
      <w:r w:rsidR="00046B97">
        <w:t>s should be connected to his</w:t>
      </w:r>
      <w:r>
        <w:t xml:space="preserve"> being </w:t>
      </w:r>
      <w:proofErr w:type="gramStart"/>
      <w:r>
        <w:t>lifted up</w:t>
      </w:r>
      <w:proofErr w:type="gramEnd"/>
      <w:r>
        <w:t xml:space="preserve"> on the cross a</w:t>
      </w:r>
      <w:r w:rsidR="00046B97">
        <w:t>s the curse of death that hovers over each human being with the implication that a</w:t>
      </w:r>
      <w:r>
        <w:t>ny</w:t>
      </w:r>
      <w:r w:rsidR="00081737">
        <w:t>one who looks on</w:t>
      </w:r>
      <w:r w:rsidR="00046B97">
        <w:t xml:space="preserve"> him in faith is</w:t>
      </w:r>
      <w:r>
        <w:t xml:space="preserve"> healed</w:t>
      </w:r>
      <w:r w:rsidR="00D32D02">
        <w:t xml:space="preserve">. </w:t>
      </w:r>
      <w:r>
        <w:t>The connection between “li</w:t>
      </w:r>
      <w:r w:rsidR="00081737">
        <w:t>fting up” and the crucifixion seems</w:t>
      </w:r>
      <w:r>
        <w:t xml:space="preserve"> clear.</w:t>
      </w:r>
    </w:p>
  </w:footnote>
  <w:footnote w:id="31">
    <w:p w14:paraId="6D500371" w14:textId="77777777" w:rsidR="007F17DE" w:rsidRDefault="007F17DE">
      <w:pPr>
        <w:pStyle w:val="FootnoteText"/>
      </w:pPr>
      <w:r>
        <w:rPr>
          <w:rStyle w:val="FootnoteReference"/>
        </w:rPr>
        <w:footnoteRef/>
      </w:r>
      <w:r>
        <w:t xml:space="preserve"> Culpepper, 1980: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824"/>
    <w:rsid w:val="00003FD7"/>
    <w:rsid w:val="00010F5B"/>
    <w:rsid w:val="0004361F"/>
    <w:rsid w:val="00046B97"/>
    <w:rsid w:val="00064F77"/>
    <w:rsid w:val="00071520"/>
    <w:rsid w:val="00081737"/>
    <w:rsid w:val="000A3B81"/>
    <w:rsid w:val="000B5C21"/>
    <w:rsid w:val="000C5F51"/>
    <w:rsid w:val="000F7C66"/>
    <w:rsid w:val="0010192E"/>
    <w:rsid w:val="0015620E"/>
    <w:rsid w:val="00160DEC"/>
    <w:rsid w:val="0016380F"/>
    <w:rsid w:val="00171F83"/>
    <w:rsid w:val="00184988"/>
    <w:rsid w:val="00193C06"/>
    <w:rsid w:val="001956EF"/>
    <w:rsid w:val="001A3149"/>
    <w:rsid w:val="001A3AB7"/>
    <w:rsid w:val="001A66D4"/>
    <w:rsid w:val="001E1918"/>
    <w:rsid w:val="001E2B62"/>
    <w:rsid w:val="001F3A7B"/>
    <w:rsid w:val="00202E76"/>
    <w:rsid w:val="0023141F"/>
    <w:rsid w:val="002438E6"/>
    <w:rsid w:val="002519B8"/>
    <w:rsid w:val="00255C28"/>
    <w:rsid w:val="00267650"/>
    <w:rsid w:val="00272C25"/>
    <w:rsid w:val="00281525"/>
    <w:rsid w:val="0028163E"/>
    <w:rsid w:val="00292146"/>
    <w:rsid w:val="0029482F"/>
    <w:rsid w:val="002A1FCD"/>
    <w:rsid w:val="002B28CC"/>
    <w:rsid w:val="00302970"/>
    <w:rsid w:val="00327331"/>
    <w:rsid w:val="00331CFA"/>
    <w:rsid w:val="0034371A"/>
    <w:rsid w:val="00352383"/>
    <w:rsid w:val="00363BD7"/>
    <w:rsid w:val="003648E8"/>
    <w:rsid w:val="003738A4"/>
    <w:rsid w:val="0039539C"/>
    <w:rsid w:val="003A224E"/>
    <w:rsid w:val="003A5D88"/>
    <w:rsid w:val="003C1A93"/>
    <w:rsid w:val="003F181A"/>
    <w:rsid w:val="003F3F22"/>
    <w:rsid w:val="0041031A"/>
    <w:rsid w:val="00411AA3"/>
    <w:rsid w:val="00412BF1"/>
    <w:rsid w:val="00414F3F"/>
    <w:rsid w:val="00416D98"/>
    <w:rsid w:val="00421F16"/>
    <w:rsid w:val="00452A22"/>
    <w:rsid w:val="0046262D"/>
    <w:rsid w:val="00466F0C"/>
    <w:rsid w:val="004759BD"/>
    <w:rsid w:val="004A4039"/>
    <w:rsid w:val="004A6C43"/>
    <w:rsid w:val="004B2B2A"/>
    <w:rsid w:val="004B5854"/>
    <w:rsid w:val="00510BE7"/>
    <w:rsid w:val="005139B5"/>
    <w:rsid w:val="0053696C"/>
    <w:rsid w:val="00552B17"/>
    <w:rsid w:val="0056550C"/>
    <w:rsid w:val="00586274"/>
    <w:rsid w:val="00590651"/>
    <w:rsid w:val="005F58B4"/>
    <w:rsid w:val="00612F40"/>
    <w:rsid w:val="00641A1E"/>
    <w:rsid w:val="00650F09"/>
    <w:rsid w:val="0065150A"/>
    <w:rsid w:val="006558EB"/>
    <w:rsid w:val="00657427"/>
    <w:rsid w:val="00672684"/>
    <w:rsid w:val="006879F2"/>
    <w:rsid w:val="00696447"/>
    <w:rsid w:val="006B210A"/>
    <w:rsid w:val="006D52BB"/>
    <w:rsid w:val="006D57D0"/>
    <w:rsid w:val="00700CAF"/>
    <w:rsid w:val="00707432"/>
    <w:rsid w:val="00707C17"/>
    <w:rsid w:val="0071217E"/>
    <w:rsid w:val="00716536"/>
    <w:rsid w:val="00724FC2"/>
    <w:rsid w:val="007461C9"/>
    <w:rsid w:val="0075423A"/>
    <w:rsid w:val="00754497"/>
    <w:rsid w:val="0076080F"/>
    <w:rsid w:val="00760CC4"/>
    <w:rsid w:val="00760DA6"/>
    <w:rsid w:val="007624B6"/>
    <w:rsid w:val="0076732D"/>
    <w:rsid w:val="00767399"/>
    <w:rsid w:val="007D15D8"/>
    <w:rsid w:val="007D2730"/>
    <w:rsid w:val="007D3AD2"/>
    <w:rsid w:val="007D4CE3"/>
    <w:rsid w:val="007E183A"/>
    <w:rsid w:val="007E1F7F"/>
    <w:rsid w:val="007E60ED"/>
    <w:rsid w:val="007F17DE"/>
    <w:rsid w:val="0080289C"/>
    <w:rsid w:val="00810194"/>
    <w:rsid w:val="008139CC"/>
    <w:rsid w:val="00843A57"/>
    <w:rsid w:val="00846E2C"/>
    <w:rsid w:val="008639D8"/>
    <w:rsid w:val="00870D36"/>
    <w:rsid w:val="00887BB0"/>
    <w:rsid w:val="008903C7"/>
    <w:rsid w:val="008913D8"/>
    <w:rsid w:val="008E5D34"/>
    <w:rsid w:val="008F0FF1"/>
    <w:rsid w:val="00926348"/>
    <w:rsid w:val="00930CF6"/>
    <w:rsid w:val="0094092E"/>
    <w:rsid w:val="00947072"/>
    <w:rsid w:val="00974F62"/>
    <w:rsid w:val="00985D5E"/>
    <w:rsid w:val="0099038E"/>
    <w:rsid w:val="009B1148"/>
    <w:rsid w:val="009C239C"/>
    <w:rsid w:val="009C2D6D"/>
    <w:rsid w:val="009C33B4"/>
    <w:rsid w:val="00A15401"/>
    <w:rsid w:val="00A279A0"/>
    <w:rsid w:val="00A32B42"/>
    <w:rsid w:val="00A943A3"/>
    <w:rsid w:val="00AA0206"/>
    <w:rsid w:val="00AC489C"/>
    <w:rsid w:val="00AD5419"/>
    <w:rsid w:val="00AF25D8"/>
    <w:rsid w:val="00AF4BA6"/>
    <w:rsid w:val="00B13BEE"/>
    <w:rsid w:val="00B30551"/>
    <w:rsid w:val="00B40D8D"/>
    <w:rsid w:val="00B40EB3"/>
    <w:rsid w:val="00B42656"/>
    <w:rsid w:val="00B5710E"/>
    <w:rsid w:val="00B57DF0"/>
    <w:rsid w:val="00B80760"/>
    <w:rsid w:val="00B84678"/>
    <w:rsid w:val="00BD67AE"/>
    <w:rsid w:val="00C126B8"/>
    <w:rsid w:val="00C14F20"/>
    <w:rsid w:val="00C246D7"/>
    <w:rsid w:val="00C45802"/>
    <w:rsid w:val="00C50A84"/>
    <w:rsid w:val="00C73B57"/>
    <w:rsid w:val="00C8655A"/>
    <w:rsid w:val="00C8696A"/>
    <w:rsid w:val="00C90648"/>
    <w:rsid w:val="00C9177A"/>
    <w:rsid w:val="00C932B0"/>
    <w:rsid w:val="00CA3A96"/>
    <w:rsid w:val="00CA5ABB"/>
    <w:rsid w:val="00CC73C6"/>
    <w:rsid w:val="00CD7446"/>
    <w:rsid w:val="00CE4051"/>
    <w:rsid w:val="00CE494C"/>
    <w:rsid w:val="00CE7BA0"/>
    <w:rsid w:val="00D02153"/>
    <w:rsid w:val="00D04582"/>
    <w:rsid w:val="00D117A5"/>
    <w:rsid w:val="00D32D02"/>
    <w:rsid w:val="00D36302"/>
    <w:rsid w:val="00D36395"/>
    <w:rsid w:val="00D46EF5"/>
    <w:rsid w:val="00D52F26"/>
    <w:rsid w:val="00D7127E"/>
    <w:rsid w:val="00D71A07"/>
    <w:rsid w:val="00D81F08"/>
    <w:rsid w:val="00D8347A"/>
    <w:rsid w:val="00D86DB2"/>
    <w:rsid w:val="00D95834"/>
    <w:rsid w:val="00D9624A"/>
    <w:rsid w:val="00DA345F"/>
    <w:rsid w:val="00DA3B8C"/>
    <w:rsid w:val="00DA7CA1"/>
    <w:rsid w:val="00DB3AB9"/>
    <w:rsid w:val="00DB64A3"/>
    <w:rsid w:val="00DC2466"/>
    <w:rsid w:val="00DE21E9"/>
    <w:rsid w:val="00DE782E"/>
    <w:rsid w:val="00DF123B"/>
    <w:rsid w:val="00E07EC7"/>
    <w:rsid w:val="00E1220E"/>
    <w:rsid w:val="00E2118F"/>
    <w:rsid w:val="00E23181"/>
    <w:rsid w:val="00E33A2F"/>
    <w:rsid w:val="00E33A80"/>
    <w:rsid w:val="00E54049"/>
    <w:rsid w:val="00E86AE6"/>
    <w:rsid w:val="00E90CB6"/>
    <w:rsid w:val="00E94B0B"/>
    <w:rsid w:val="00E950D3"/>
    <w:rsid w:val="00E97D42"/>
    <w:rsid w:val="00EA4C87"/>
    <w:rsid w:val="00EA5611"/>
    <w:rsid w:val="00ED0A2C"/>
    <w:rsid w:val="00EF19A5"/>
    <w:rsid w:val="00F134C8"/>
    <w:rsid w:val="00F21A44"/>
    <w:rsid w:val="00F2557B"/>
    <w:rsid w:val="00F264FA"/>
    <w:rsid w:val="00F26902"/>
    <w:rsid w:val="00F405A9"/>
    <w:rsid w:val="00F432C2"/>
    <w:rsid w:val="00F51AB0"/>
    <w:rsid w:val="00F53792"/>
    <w:rsid w:val="00F80C03"/>
    <w:rsid w:val="00F81163"/>
    <w:rsid w:val="00F8143C"/>
    <w:rsid w:val="00F83824"/>
    <w:rsid w:val="00F83E83"/>
    <w:rsid w:val="00F85A87"/>
    <w:rsid w:val="00FA2762"/>
    <w:rsid w:val="00FA4EA5"/>
    <w:rsid w:val="00FB27D0"/>
    <w:rsid w:val="00FC4318"/>
    <w:rsid w:val="00FD72B4"/>
    <w:rsid w:val="00FE20C1"/>
    <w:rsid w:val="00FF508B"/>
    <w:rsid w:val="00FF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2C1A"/>
  <w15:docId w15:val="{BD577F78-B50D-44D4-8993-053E56D0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A57"/>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930CF6"/>
    <w:pPr>
      <w:keepNext/>
      <w:keepLines/>
      <w:spacing w:after="0" w:line="36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67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CF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6739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767399"/>
    <w:pPr>
      <w:spacing w:after="0" w:line="240" w:lineRule="auto"/>
    </w:pPr>
    <w:rPr>
      <w:sz w:val="20"/>
      <w:szCs w:val="20"/>
    </w:rPr>
  </w:style>
  <w:style w:type="character" w:customStyle="1" w:styleId="FootnoteTextChar">
    <w:name w:val="Footnote Text Char"/>
    <w:basedOn w:val="DefaultParagraphFont"/>
    <w:link w:val="FootnoteText"/>
    <w:uiPriority w:val="99"/>
    <w:rsid w:val="00767399"/>
    <w:rPr>
      <w:sz w:val="20"/>
      <w:szCs w:val="20"/>
    </w:rPr>
  </w:style>
  <w:style w:type="character" w:styleId="FootnoteReference">
    <w:name w:val="footnote reference"/>
    <w:basedOn w:val="DefaultParagraphFont"/>
    <w:uiPriority w:val="99"/>
    <w:semiHidden/>
    <w:unhideWhenUsed/>
    <w:rsid w:val="00767399"/>
    <w:rPr>
      <w:vertAlign w:val="superscript"/>
    </w:rPr>
  </w:style>
  <w:style w:type="paragraph" w:customStyle="1" w:styleId="Default">
    <w:name w:val="Default"/>
    <w:rsid w:val="00C50A8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2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7D0"/>
    <w:rPr>
      <w:rFonts w:ascii="Segoe UI" w:hAnsi="Segoe UI" w:cs="Segoe UI"/>
      <w:sz w:val="18"/>
      <w:szCs w:val="18"/>
    </w:rPr>
  </w:style>
  <w:style w:type="character" w:styleId="CommentReference">
    <w:name w:val="annotation reference"/>
    <w:basedOn w:val="DefaultParagraphFont"/>
    <w:uiPriority w:val="99"/>
    <w:semiHidden/>
    <w:unhideWhenUsed/>
    <w:rsid w:val="001F3A7B"/>
    <w:rPr>
      <w:sz w:val="16"/>
      <w:szCs w:val="16"/>
    </w:rPr>
  </w:style>
  <w:style w:type="paragraph" w:styleId="CommentText">
    <w:name w:val="annotation text"/>
    <w:basedOn w:val="Normal"/>
    <w:link w:val="CommentTextChar"/>
    <w:uiPriority w:val="99"/>
    <w:semiHidden/>
    <w:unhideWhenUsed/>
    <w:rsid w:val="001F3A7B"/>
    <w:pPr>
      <w:spacing w:line="240" w:lineRule="auto"/>
    </w:pPr>
    <w:rPr>
      <w:sz w:val="20"/>
      <w:szCs w:val="20"/>
    </w:rPr>
  </w:style>
  <w:style w:type="character" w:customStyle="1" w:styleId="CommentTextChar">
    <w:name w:val="Comment Text Char"/>
    <w:basedOn w:val="DefaultParagraphFont"/>
    <w:link w:val="CommentText"/>
    <w:uiPriority w:val="99"/>
    <w:semiHidden/>
    <w:rsid w:val="001F3A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3A7B"/>
    <w:rPr>
      <w:b/>
      <w:bCs/>
    </w:rPr>
  </w:style>
  <w:style w:type="character" w:customStyle="1" w:styleId="CommentSubjectChar">
    <w:name w:val="Comment Subject Char"/>
    <w:basedOn w:val="CommentTextChar"/>
    <w:link w:val="CommentSubject"/>
    <w:uiPriority w:val="99"/>
    <w:semiHidden/>
    <w:rsid w:val="001F3A7B"/>
    <w:rPr>
      <w:rFonts w:ascii="Times New Roman" w:hAnsi="Times New Roman"/>
      <w:b/>
      <w:bCs/>
      <w:sz w:val="20"/>
      <w:szCs w:val="20"/>
    </w:rPr>
  </w:style>
  <w:style w:type="paragraph" w:styleId="Header">
    <w:name w:val="header"/>
    <w:basedOn w:val="Normal"/>
    <w:link w:val="HeaderChar"/>
    <w:uiPriority w:val="99"/>
    <w:unhideWhenUsed/>
    <w:rsid w:val="00F4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5A9"/>
    <w:rPr>
      <w:rFonts w:ascii="Times New Roman" w:hAnsi="Times New Roman"/>
      <w:sz w:val="24"/>
    </w:rPr>
  </w:style>
  <w:style w:type="paragraph" w:styleId="Footer">
    <w:name w:val="footer"/>
    <w:basedOn w:val="Normal"/>
    <w:link w:val="FooterChar"/>
    <w:uiPriority w:val="99"/>
    <w:unhideWhenUsed/>
    <w:rsid w:val="00F4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A9"/>
    <w:rPr>
      <w:rFonts w:ascii="Times New Roman" w:hAnsi="Times New Roman"/>
      <w:sz w:val="24"/>
    </w:rPr>
  </w:style>
  <w:style w:type="paragraph" w:styleId="ListParagraph">
    <w:name w:val="List Paragraph"/>
    <w:basedOn w:val="Normal"/>
    <w:uiPriority w:val="34"/>
    <w:qFormat/>
    <w:rsid w:val="00327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124">
      <w:bodyDiv w:val="1"/>
      <w:marLeft w:val="0"/>
      <w:marRight w:val="0"/>
      <w:marTop w:val="0"/>
      <w:marBottom w:val="0"/>
      <w:divBdr>
        <w:top w:val="none" w:sz="0" w:space="0" w:color="auto"/>
        <w:left w:val="none" w:sz="0" w:space="0" w:color="auto"/>
        <w:bottom w:val="none" w:sz="0" w:space="0" w:color="auto"/>
        <w:right w:val="none" w:sz="0" w:space="0" w:color="auto"/>
      </w:divBdr>
    </w:div>
    <w:div w:id="19229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96FE-290D-4850-B7AD-3554A686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16</Pages>
  <Words>5235</Words>
  <Characters>29841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25</cp:revision>
  <cp:lastPrinted>2014-10-07T15:40:00Z</cp:lastPrinted>
  <dcterms:created xsi:type="dcterms:W3CDTF">2014-03-18T10:25:00Z</dcterms:created>
  <dcterms:modified xsi:type="dcterms:W3CDTF">2019-10-17T17:24:00Z</dcterms:modified>
</cp:coreProperties>
</file>